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E55FCF" w14:textId="6FDC8807" w:rsidR="00845E2E" w:rsidRPr="00845E2E" w:rsidRDefault="00845E2E" w:rsidP="00845E2E">
      <w:pPr>
        <w:jc w:val="center"/>
        <w:rPr>
          <w:b/>
          <w:i/>
          <w:iCs/>
          <w:sz w:val="24"/>
          <w:szCs w:val="24"/>
        </w:rPr>
      </w:pPr>
      <w:r w:rsidRPr="00845E2E">
        <w:rPr>
          <w:b/>
          <w:i/>
          <w:iCs/>
          <w:sz w:val="24"/>
          <w:szCs w:val="24"/>
        </w:rPr>
        <w:t xml:space="preserve">Supplementary </w:t>
      </w:r>
      <w:r w:rsidR="000914C5">
        <w:rPr>
          <w:b/>
          <w:i/>
          <w:iCs/>
          <w:sz w:val="24"/>
          <w:szCs w:val="24"/>
        </w:rPr>
        <w:t>Table</w:t>
      </w:r>
    </w:p>
    <w:p w14:paraId="3C907929" w14:textId="7F5224AF" w:rsidR="00845E2E" w:rsidRDefault="00845E2E" w:rsidP="006A70DD">
      <w:pPr>
        <w:rPr>
          <w:iCs/>
          <w:sz w:val="24"/>
          <w:szCs w:val="24"/>
        </w:rPr>
      </w:pPr>
    </w:p>
    <w:p w14:paraId="36C8E147" w14:textId="279896A0" w:rsidR="00C4160A" w:rsidRDefault="00C4160A" w:rsidP="00C4160A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Table </w:t>
      </w:r>
      <w:r>
        <w:rPr>
          <w:rFonts w:hint="eastAsia"/>
          <w:b/>
          <w:bCs/>
          <w:sz w:val="24"/>
          <w:szCs w:val="24"/>
        </w:rPr>
        <w:t>S</w:t>
      </w:r>
      <w:r>
        <w:rPr>
          <w:b/>
          <w:bCs/>
          <w:sz w:val="24"/>
          <w:szCs w:val="24"/>
        </w:rPr>
        <w:t xml:space="preserve">1. The activities of some representative FDA-approved antibiotics against stationary-phase cultures of </w:t>
      </w:r>
      <w:r>
        <w:rPr>
          <w:b/>
          <w:bCs/>
          <w:i/>
          <w:iCs/>
          <w:sz w:val="24"/>
          <w:szCs w:val="24"/>
        </w:rPr>
        <w:t>B. garinii</w:t>
      </w:r>
      <w:r>
        <w:rPr>
          <w:b/>
          <w:bCs/>
          <w:sz w:val="24"/>
          <w:szCs w:val="24"/>
        </w:rPr>
        <w:t xml:space="preserve"> and </w:t>
      </w:r>
      <w:r>
        <w:rPr>
          <w:b/>
          <w:bCs/>
          <w:i/>
          <w:iCs/>
          <w:sz w:val="24"/>
          <w:szCs w:val="24"/>
        </w:rPr>
        <w:t>B. afzelii</w:t>
      </w:r>
      <w:r>
        <w:rPr>
          <w:b/>
          <w:bCs/>
          <w:iCs/>
          <w:sz w:val="24"/>
          <w:szCs w:val="24"/>
        </w:rPr>
        <w:t>.</w:t>
      </w:r>
    </w:p>
    <w:tbl>
      <w:tblPr>
        <w:tblW w:w="7470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340"/>
        <w:gridCol w:w="1422"/>
        <w:gridCol w:w="1368"/>
        <w:gridCol w:w="1170"/>
        <w:gridCol w:w="1170"/>
      </w:tblGrid>
      <w:tr w:rsidR="00C4160A" w14:paraId="56E83E7A" w14:textId="77777777" w:rsidTr="0026624A">
        <w:trPr>
          <w:trHeight w:val="314"/>
        </w:trPr>
        <w:tc>
          <w:tcPr>
            <w:tcW w:w="2340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377280D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Drugs (50 μM)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484A99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Residual viable bacteria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>
              <w:rPr>
                <w:sz w:val="24"/>
                <w:szCs w:val="24"/>
              </w:rPr>
              <w:t>(Plate reader)</w:t>
            </w:r>
          </w:p>
        </w:tc>
        <w:tc>
          <w:tcPr>
            <w:tcW w:w="234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9629B2E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Residual viable bacteria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>
              <w:rPr>
                <w:sz w:val="24"/>
                <w:szCs w:val="24"/>
              </w:rPr>
              <w:t>(Microscopy)</w:t>
            </w:r>
          </w:p>
        </w:tc>
      </w:tr>
      <w:tr w:rsidR="00C4160A" w14:paraId="0DAE0FE1" w14:textId="77777777" w:rsidTr="0026624A">
        <w:trPr>
          <w:trHeight w:val="314"/>
        </w:trPr>
        <w:tc>
          <w:tcPr>
            <w:tcW w:w="23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6B1B772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AD76430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</w:t>
            </w:r>
            <w:r>
              <w:rPr>
                <w:sz w:val="24"/>
                <w:szCs w:val="24"/>
              </w:rPr>
              <w:t>ga</w:t>
            </w:r>
          </w:p>
        </w:tc>
        <w:tc>
          <w:tcPr>
            <w:tcW w:w="1368" w:type="dxa"/>
            <w:tcBorders>
              <w:top w:val="single" w:sz="4" w:space="0" w:color="auto"/>
              <w:bottom w:val="single" w:sz="4" w:space="0" w:color="auto"/>
            </w:tcBorders>
          </w:tcPr>
          <w:p w14:paraId="042B3BC4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</w:t>
            </w:r>
            <w:r>
              <w:rPr>
                <w:sz w:val="24"/>
                <w:szCs w:val="24"/>
              </w:rPr>
              <w:t>af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09A075C5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Bga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6BD2B671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Baf</w:t>
            </w:r>
          </w:p>
        </w:tc>
      </w:tr>
      <w:tr w:rsidR="00C4160A" w14:paraId="7FFEEECF" w14:textId="77777777" w:rsidTr="0026624A">
        <w:trPr>
          <w:trHeight w:val="314"/>
        </w:trPr>
        <w:tc>
          <w:tcPr>
            <w:tcW w:w="234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9A3E3E8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Amoxicillin</w:t>
            </w:r>
          </w:p>
        </w:tc>
        <w:tc>
          <w:tcPr>
            <w:tcW w:w="142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F6B2BD3" w14:textId="77777777" w:rsidR="00C4160A" w:rsidRDefault="00C4160A" w:rsidP="0026624A">
            <w:pPr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72 ± 2.8%</w:t>
            </w:r>
          </w:p>
        </w:tc>
        <w:tc>
          <w:tcPr>
            <w:tcW w:w="1368" w:type="dxa"/>
            <w:tcBorders>
              <w:top w:val="single" w:sz="4" w:space="0" w:color="auto"/>
            </w:tcBorders>
            <w:vAlign w:val="bottom"/>
          </w:tcPr>
          <w:p w14:paraId="5D7D10BF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78 ± 0.7%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21F85A16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4FA4CAA5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</w:tr>
      <w:tr w:rsidR="00C4160A" w14:paraId="37B6E1FC" w14:textId="77777777" w:rsidTr="0026624A">
        <w:trPr>
          <w:trHeight w:val="314"/>
        </w:trPr>
        <w:tc>
          <w:tcPr>
            <w:tcW w:w="2340" w:type="dxa"/>
            <w:shd w:val="clear" w:color="auto" w:fill="auto"/>
            <w:vAlign w:val="bottom"/>
          </w:tcPr>
          <w:p w14:paraId="721C775A" w14:textId="77777777" w:rsidR="00C4160A" w:rsidRDefault="00C4160A" w:rsidP="0026624A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Ampicillin</w:t>
            </w:r>
          </w:p>
        </w:tc>
        <w:tc>
          <w:tcPr>
            <w:tcW w:w="1422" w:type="dxa"/>
            <w:shd w:val="clear" w:color="auto" w:fill="auto"/>
            <w:vAlign w:val="bottom"/>
          </w:tcPr>
          <w:p w14:paraId="491BB726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77 ± 2.5%</w:t>
            </w:r>
          </w:p>
        </w:tc>
        <w:tc>
          <w:tcPr>
            <w:tcW w:w="1368" w:type="dxa"/>
            <w:vAlign w:val="bottom"/>
          </w:tcPr>
          <w:p w14:paraId="474E0598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74 ± 2.5%</w:t>
            </w:r>
          </w:p>
        </w:tc>
        <w:tc>
          <w:tcPr>
            <w:tcW w:w="1170" w:type="dxa"/>
            <w:vAlign w:val="bottom"/>
          </w:tcPr>
          <w:p w14:paraId="17397B6D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  <w:tc>
          <w:tcPr>
            <w:tcW w:w="1170" w:type="dxa"/>
            <w:vAlign w:val="bottom"/>
          </w:tcPr>
          <w:p w14:paraId="1340CAF5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</w:tr>
      <w:tr w:rsidR="00C4160A" w14:paraId="5EFB5CA9" w14:textId="77777777" w:rsidTr="0026624A">
        <w:trPr>
          <w:trHeight w:val="314"/>
        </w:trPr>
        <w:tc>
          <w:tcPr>
            <w:tcW w:w="2340" w:type="dxa"/>
            <w:shd w:val="clear" w:color="auto" w:fill="auto"/>
            <w:vAlign w:val="bottom"/>
          </w:tcPr>
          <w:p w14:paraId="7E08573C" w14:textId="77777777" w:rsidR="00C4160A" w:rsidRDefault="00C4160A" w:rsidP="0026624A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Ceftriaxone</w:t>
            </w:r>
          </w:p>
        </w:tc>
        <w:tc>
          <w:tcPr>
            <w:tcW w:w="1422" w:type="dxa"/>
            <w:shd w:val="clear" w:color="auto" w:fill="auto"/>
            <w:vAlign w:val="bottom"/>
          </w:tcPr>
          <w:p w14:paraId="21079F12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68 ± 3.4%</w:t>
            </w:r>
          </w:p>
        </w:tc>
        <w:tc>
          <w:tcPr>
            <w:tcW w:w="1368" w:type="dxa"/>
            <w:vAlign w:val="bottom"/>
          </w:tcPr>
          <w:p w14:paraId="3C6E3C32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67 ± 1.3%</w:t>
            </w:r>
          </w:p>
        </w:tc>
        <w:tc>
          <w:tcPr>
            <w:tcW w:w="1170" w:type="dxa"/>
            <w:vAlign w:val="bottom"/>
          </w:tcPr>
          <w:p w14:paraId="6C082F04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66 ± 2%</w:t>
            </w:r>
          </w:p>
        </w:tc>
        <w:tc>
          <w:tcPr>
            <w:tcW w:w="1170" w:type="dxa"/>
            <w:vAlign w:val="bottom"/>
          </w:tcPr>
          <w:p w14:paraId="11009907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61 ± 3%</w:t>
            </w:r>
          </w:p>
        </w:tc>
      </w:tr>
      <w:tr w:rsidR="00C4160A" w14:paraId="4AE2AF95" w14:textId="77777777" w:rsidTr="0026624A">
        <w:trPr>
          <w:trHeight w:val="314"/>
        </w:trPr>
        <w:tc>
          <w:tcPr>
            <w:tcW w:w="2340" w:type="dxa"/>
            <w:shd w:val="clear" w:color="auto" w:fill="auto"/>
            <w:vAlign w:val="bottom"/>
          </w:tcPr>
          <w:p w14:paraId="6C1EA54B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Cefuroxime</w:t>
            </w:r>
          </w:p>
        </w:tc>
        <w:tc>
          <w:tcPr>
            <w:tcW w:w="1422" w:type="dxa"/>
            <w:shd w:val="clear" w:color="auto" w:fill="auto"/>
            <w:vAlign w:val="bottom"/>
          </w:tcPr>
          <w:p w14:paraId="6EB82FA5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67 ± 2.9%</w:t>
            </w:r>
          </w:p>
        </w:tc>
        <w:tc>
          <w:tcPr>
            <w:tcW w:w="1368" w:type="dxa"/>
            <w:vAlign w:val="bottom"/>
          </w:tcPr>
          <w:p w14:paraId="2B08C175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71 ± 0.7%</w:t>
            </w:r>
          </w:p>
        </w:tc>
        <w:tc>
          <w:tcPr>
            <w:tcW w:w="1170" w:type="dxa"/>
            <w:vAlign w:val="bottom"/>
          </w:tcPr>
          <w:p w14:paraId="09F26A5E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66 ± 1%</w:t>
            </w:r>
          </w:p>
        </w:tc>
        <w:tc>
          <w:tcPr>
            <w:tcW w:w="1170" w:type="dxa"/>
            <w:vAlign w:val="bottom"/>
          </w:tcPr>
          <w:p w14:paraId="33E748DA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66 ± 1%</w:t>
            </w:r>
          </w:p>
        </w:tc>
      </w:tr>
      <w:tr w:rsidR="00C4160A" w14:paraId="16481395" w14:textId="77777777" w:rsidTr="0026624A">
        <w:trPr>
          <w:trHeight w:val="314"/>
        </w:trPr>
        <w:tc>
          <w:tcPr>
            <w:tcW w:w="2340" w:type="dxa"/>
            <w:shd w:val="clear" w:color="auto" w:fill="auto"/>
            <w:vAlign w:val="bottom"/>
          </w:tcPr>
          <w:p w14:paraId="7576BF8B" w14:textId="77777777" w:rsidR="00C4160A" w:rsidRDefault="00C4160A" w:rsidP="0026624A">
            <w:pPr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Ciprofloxacin </w:t>
            </w:r>
          </w:p>
        </w:tc>
        <w:tc>
          <w:tcPr>
            <w:tcW w:w="1422" w:type="dxa"/>
            <w:shd w:val="clear" w:color="auto" w:fill="auto"/>
            <w:vAlign w:val="bottom"/>
          </w:tcPr>
          <w:p w14:paraId="679F1E38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76 ± 4.5%</w:t>
            </w:r>
          </w:p>
        </w:tc>
        <w:tc>
          <w:tcPr>
            <w:tcW w:w="1368" w:type="dxa"/>
            <w:vAlign w:val="bottom"/>
          </w:tcPr>
          <w:p w14:paraId="5E574BBE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71 ± 1.4%</w:t>
            </w:r>
          </w:p>
        </w:tc>
        <w:tc>
          <w:tcPr>
            <w:tcW w:w="1170" w:type="dxa"/>
            <w:vAlign w:val="bottom"/>
          </w:tcPr>
          <w:p w14:paraId="5601AC76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  <w:tc>
          <w:tcPr>
            <w:tcW w:w="1170" w:type="dxa"/>
            <w:vAlign w:val="bottom"/>
          </w:tcPr>
          <w:p w14:paraId="19420F0D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</w:tr>
      <w:tr w:rsidR="00C4160A" w14:paraId="19C1A2A5" w14:textId="77777777" w:rsidTr="0026624A">
        <w:trPr>
          <w:trHeight w:val="314"/>
        </w:trPr>
        <w:tc>
          <w:tcPr>
            <w:tcW w:w="2340" w:type="dxa"/>
            <w:shd w:val="clear" w:color="auto" w:fill="auto"/>
            <w:vAlign w:val="center"/>
          </w:tcPr>
          <w:p w14:paraId="6623F4E6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Clofazimine</w:t>
            </w:r>
          </w:p>
        </w:tc>
        <w:tc>
          <w:tcPr>
            <w:tcW w:w="1422" w:type="dxa"/>
            <w:shd w:val="clear" w:color="auto" w:fill="auto"/>
            <w:vAlign w:val="bottom"/>
          </w:tcPr>
          <w:p w14:paraId="0C76F71F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32 ± 3.5%</w:t>
            </w:r>
          </w:p>
        </w:tc>
        <w:tc>
          <w:tcPr>
            <w:tcW w:w="1368" w:type="dxa"/>
            <w:vAlign w:val="bottom"/>
          </w:tcPr>
          <w:p w14:paraId="4AF31263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54 ± 0.5%</w:t>
            </w:r>
          </w:p>
        </w:tc>
        <w:tc>
          <w:tcPr>
            <w:tcW w:w="1170" w:type="dxa"/>
            <w:vAlign w:val="bottom"/>
          </w:tcPr>
          <w:p w14:paraId="6A154DA8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 ± 4%</w:t>
            </w:r>
          </w:p>
        </w:tc>
        <w:tc>
          <w:tcPr>
            <w:tcW w:w="1170" w:type="dxa"/>
            <w:vAlign w:val="bottom"/>
          </w:tcPr>
          <w:p w14:paraId="4E51233C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</w:tr>
      <w:tr w:rsidR="00C4160A" w14:paraId="50F1CF67" w14:textId="77777777" w:rsidTr="0026624A">
        <w:trPr>
          <w:trHeight w:val="314"/>
        </w:trPr>
        <w:tc>
          <w:tcPr>
            <w:tcW w:w="2340" w:type="dxa"/>
            <w:shd w:val="clear" w:color="auto" w:fill="auto"/>
            <w:vAlign w:val="bottom"/>
          </w:tcPr>
          <w:p w14:paraId="3489525C" w14:textId="77777777" w:rsidR="00C4160A" w:rsidRDefault="00C4160A" w:rsidP="0026624A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Doxycycline</w:t>
            </w:r>
          </w:p>
        </w:tc>
        <w:tc>
          <w:tcPr>
            <w:tcW w:w="1422" w:type="dxa"/>
            <w:shd w:val="clear" w:color="auto" w:fill="auto"/>
            <w:vAlign w:val="bottom"/>
          </w:tcPr>
          <w:p w14:paraId="132952AA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81 ± 1.7%</w:t>
            </w:r>
          </w:p>
        </w:tc>
        <w:tc>
          <w:tcPr>
            <w:tcW w:w="1368" w:type="dxa"/>
            <w:vAlign w:val="bottom"/>
          </w:tcPr>
          <w:p w14:paraId="335502EC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83 ± 2.0%</w:t>
            </w:r>
          </w:p>
        </w:tc>
        <w:tc>
          <w:tcPr>
            <w:tcW w:w="1170" w:type="dxa"/>
            <w:vAlign w:val="bottom"/>
          </w:tcPr>
          <w:p w14:paraId="5F5DF64B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  <w:tc>
          <w:tcPr>
            <w:tcW w:w="1170" w:type="dxa"/>
            <w:vAlign w:val="bottom"/>
          </w:tcPr>
          <w:p w14:paraId="32BE7DEE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</w:tr>
      <w:tr w:rsidR="00C4160A" w14:paraId="73EB4722" w14:textId="77777777" w:rsidTr="0026624A">
        <w:trPr>
          <w:trHeight w:val="314"/>
        </w:trPr>
        <w:tc>
          <w:tcPr>
            <w:tcW w:w="2340" w:type="dxa"/>
            <w:shd w:val="clear" w:color="auto" w:fill="auto"/>
            <w:vAlign w:val="bottom"/>
          </w:tcPr>
          <w:p w14:paraId="67AE883E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Imipenem</w:t>
            </w:r>
          </w:p>
        </w:tc>
        <w:tc>
          <w:tcPr>
            <w:tcW w:w="1422" w:type="dxa"/>
            <w:shd w:val="clear" w:color="auto" w:fill="auto"/>
            <w:vAlign w:val="bottom"/>
          </w:tcPr>
          <w:p w14:paraId="2DADACF5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48 ± 0.8%</w:t>
            </w:r>
          </w:p>
        </w:tc>
        <w:tc>
          <w:tcPr>
            <w:tcW w:w="1368" w:type="dxa"/>
            <w:vAlign w:val="bottom"/>
          </w:tcPr>
          <w:p w14:paraId="7AD10532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 ± 1.0%</w:t>
            </w:r>
          </w:p>
        </w:tc>
        <w:tc>
          <w:tcPr>
            <w:tcW w:w="1170" w:type="dxa"/>
            <w:vAlign w:val="bottom"/>
          </w:tcPr>
          <w:p w14:paraId="3FC15955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  <w:tc>
          <w:tcPr>
            <w:tcW w:w="1170" w:type="dxa"/>
            <w:vAlign w:val="bottom"/>
          </w:tcPr>
          <w:p w14:paraId="778CE99E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</w:tr>
      <w:tr w:rsidR="00C4160A" w14:paraId="5AF3BED6" w14:textId="77777777" w:rsidTr="0026624A">
        <w:trPr>
          <w:trHeight w:val="314"/>
        </w:trPr>
        <w:tc>
          <w:tcPr>
            <w:tcW w:w="2340" w:type="dxa"/>
            <w:shd w:val="clear" w:color="auto" w:fill="auto"/>
            <w:vAlign w:val="bottom"/>
          </w:tcPr>
          <w:p w14:paraId="2414E38E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Linezolid</w:t>
            </w:r>
          </w:p>
        </w:tc>
        <w:tc>
          <w:tcPr>
            <w:tcW w:w="1422" w:type="dxa"/>
            <w:shd w:val="clear" w:color="auto" w:fill="auto"/>
            <w:vAlign w:val="bottom"/>
          </w:tcPr>
          <w:p w14:paraId="506A9055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74 ± 2.5%</w:t>
            </w:r>
          </w:p>
        </w:tc>
        <w:tc>
          <w:tcPr>
            <w:tcW w:w="1368" w:type="dxa"/>
            <w:vAlign w:val="bottom"/>
          </w:tcPr>
          <w:p w14:paraId="232FED3D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65 ± 0.9%</w:t>
            </w:r>
          </w:p>
        </w:tc>
        <w:tc>
          <w:tcPr>
            <w:tcW w:w="1170" w:type="dxa"/>
            <w:vAlign w:val="bottom"/>
          </w:tcPr>
          <w:p w14:paraId="00AD0745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  <w:tc>
          <w:tcPr>
            <w:tcW w:w="1170" w:type="dxa"/>
            <w:vAlign w:val="bottom"/>
          </w:tcPr>
          <w:p w14:paraId="08FC87D5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</w:tr>
      <w:tr w:rsidR="00C4160A" w14:paraId="4F202C13" w14:textId="77777777" w:rsidTr="0026624A">
        <w:trPr>
          <w:trHeight w:val="314"/>
        </w:trPr>
        <w:tc>
          <w:tcPr>
            <w:tcW w:w="2340" w:type="dxa"/>
            <w:shd w:val="clear" w:color="auto" w:fill="auto"/>
            <w:vAlign w:val="bottom"/>
          </w:tcPr>
          <w:p w14:paraId="53ECEF85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Metronidazole</w:t>
            </w:r>
          </w:p>
        </w:tc>
        <w:tc>
          <w:tcPr>
            <w:tcW w:w="1422" w:type="dxa"/>
            <w:shd w:val="clear" w:color="auto" w:fill="auto"/>
            <w:vAlign w:val="bottom"/>
          </w:tcPr>
          <w:p w14:paraId="43ADA652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68 ± 4.6%</w:t>
            </w:r>
          </w:p>
        </w:tc>
        <w:tc>
          <w:tcPr>
            <w:tcW w:w="1368" w:type="dxa"/>
            <w:vAlign w:val="bottom"/>
          </w:tcPr>
          <w:p w14:paraId="77D26BEE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77 ± 2.6%</w:t>
            </w:r>
          </w:p>
        </w:tc>
        <w:tc>
          <w:tcPr>
            <w:tcW w:w="1170" w:type="dxa"/>
            <w:vAlign w:val="bottom"/>
          </w:tcPr>
          <w:p w14:paraId="5E8388FD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  <w:tc>
          <w:tcPr>
            <w:tcW w:w="1170" w:type="dxa"/>
            <w:vAlign w:val="bottom"/>
          </w:tcPr>
          <w:p w14:paraId="772B31BE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</w:tr>
      <w:tr w:rsidR="00C4160A" w14:paraId="06F3FDB6" w14:textId="77777777" w:rsidTr="0026624A">
        <w:trPr>
          <w:trHeight w:val="314"/>
        </w:trPr>
        <w:tc>
          <w:tcPr>
            <w:tcW w:w="2340" w:type="dxa"/>
            <w:shd w:val="clear" w:color="auto" w:fill="auto"/>
            <w:vAlign w:val="bottom"/>
          </w:tcPr>
          <w:p w14:paraId="2047BE07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Ofloxacin</w:t>
            </w:r>
          </w:p>
        </w:tc>
        <w:tc>
          <w:tcPr>
            <w:tcW w:w="1422" w:type="dxa"/>
            <w:shd w:val="clear" w:color="auto" w:fill="auto"/>
            <w:vAlign w:val="bottom"/>
          </w:tcPr>
          <w:p w14:paraId="7B51E64F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71 ± 1.3%</w:t>
            </w:r>
          </w:p>
        </w:tc>
        <w:tc>
          <w:tcPr>
            <w:tcW w:w="1368" w:type="dxa"/>
            <w:vAlign w:val="bottom"/>
          </w:tcPr>
          <w:p w14:paraId="0FFD67C1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83 ± 1.3%</w:t>
            </w:r>
          </w:p>
        </w:tc>
        <w:tc>
          <w:tcPr>
            <w:tcW w:w="1170" w:type="dxa"/>
            <w:vAlign w:val="bottom"/>
          </w:tcPr>
          <w:p w14:paraId="0781FEC1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  <w:tc>
          <w:tcPr>
            <w:tcW w:w="1170" w:type="dxa"/>
            <w:vAlign w:val="bottom"/>
          </w:tcPr>
          <w:p w14:paraId="2116E8F7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</w:tr>
      <w:tr w:rsidR="00C4160A" w14:paraId="4DEC017B" w14:textId="77777777" w:rsidTr="0026624A">
        <w:trPr>
          <w:trHeight w:val="314"/>
        </w:trPr>
        <w:tc>
          <w:tcPr>
            <w:tcW w:w="2340" w:type="dxa"/>
            <w:shd w:val="clear" w:color="auto" w:fill="auto"/>
            <w:vAlign w:val="bottom"/>
          </w:tcPr>
          <w:p w14:paraId="5958E883" w14:textId="77777777" w:rsidR="00C4160A" w:rsidRDefault="00C4160A" w:rsidP="0026624A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Penicillin G</w:t>
            </w:r>
          </w:p>
        </w:tc>
        <w:tc>
          <w:tcPr>
            <w:tcW w:w="1422" w:type="dxa"/>
            <w:shd w:val="clear" w:color="auto" w:fill="auto"/>
            <w:vAlign w:val="bottom"/>
          </w:tcPr>
          <w:p w14:paraId="42DCC8AD" w14:textId="77777777" w:rsidR="00C4160A" w:rsidRDefault="00C4160A" w:rsidP="0026624A">
            <w:pPr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83 ± 3.3%</w:t>
            </w:r>
          </w:p>
        </w:tc>
        <w:tc>
          <w:tcPr>
            <w:tcW w:w="1368" w:type="dxa"/>
            <w:vAlign w:val="bottom"/>
          </w:tcPr>
          <w:p w14:paraId="2B0B5B95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79 ± 2.2%</w:t>
            </w:r>
          </w:p>
        </w:tc>
        <w:tc>
          <w:tcPr>
            <w:tcW w:w="1170" w:type="dxa"/>
            <w:vAlign w:val="bottom"/>
          </w:tcPr>
          <w:p w14:paraId="6DC52896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  <w:tc>
          <w:tcPr>
            <w:tcW w:w="1170" w:type="dxa"/>
            <w:vAlign w:val="bottom"/>
          </w:tcPr>
          <w:p w14:paraId="3FB2EAF1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</w:tr>
      <w:tr w:rsidR="00C4160A" w14:paraId="338103E5" w14:textId="77777777" w:rsidTr="0026624A">
        <w:trPr>
          <w:trHeight w:val="314"/>
        </w:trPr>
        <w:tc>
          <w:tcPr>
            <w:tcW w:w="2340" w:type="dxa"/>
            <w:shd w:val="clear" w:color="auto" w:fill="auto"/>
            <w:vAlign w:val="bottom"/>
          </w:tcPr>
          <w:p w14:paraId="7201B508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Sulfamethoxazole</w:t>
            </w:r>
          </w:p>
        </w:tc>
        <w:tc>
          <w:tcPr>
            <w:tcW w:w="1422" w:type="dxa"/>
            <w:shd w:val="clear" w:color="auto" w:fill="auto"/>
            <w:vAlign w:val="bottom"/>
          </w:tcPr>
          <w:p w14:paraId="468ADC95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76 ± 2.3%</w:t>
            </w:r>
          </w:p>
        </w:tc>
        <w:tc>
          <w:tcPr>
            <w:tcW w:w="1368" w:type="dxa"/>
            <w:vAlign w:val="bottom"/>
          </w:tcPr>
          <w:p w14:paraId="583D1087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74 ± 1.0%</w:t>
            </w:r>
          </w:p>
        </w:tc>
        <w:tc>
          <w:tcPr>
            <w:tcW w:w="1170" w:type="dxa"/>
            <w:vAlign w:val="bottom"/>
          </w:tcPr>
          <w:p w14:paraId="39AFE110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  <w:tc>
          <w:tcPr>
            <w:tcW w:w="1170" w:type="dxa"/>
            <w:vAlign w:val="bottom"/>
          </w:tcPr>
          <w:p w14:paraId="2B59EA5F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</w:tr>
      <w:tr w:rsidR="00C4160A" w14:paraId="34DE5E9C" w14:textId="77777777" w:rsidTr="0026624A">
        <w:trPr>
          <w:trHeight w:val="314"/>
        </w:trPr>
        <w:tc>
          <w:tcPr>
            <w:tcW w:w="2340" w:type="dxa"/>
            <w:shd w:val="clear" w:color="auto" w:fill="auto"/>
            <w:vAlign w:val="bottom"/>
          </w:tcPr>
          <w:p w14:paraId="777F49AC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Tetracycline </w:t>
            </w:r>
          </w:p>
        </w:tc>
        <w:tc>
          <w:tcPr>
            <w:tcW w:w="1422" w:type="dxa"/>
            <w:shd w:val="clear" w:color="auto" w:fill="auto"/>
            <w:vAlign w:val="bottom"/>
          </w:tcPr>
          <w:p w14:paraId="693A3162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68 ± 0.7%</w:t>
            </w:r>
          </w:p>
        </w:tc>
        <w:tc>
          <w:tcPr>
            <w:tcW w:w="1368" w:type="dxa"/>
            <w:vAlign w:val="bottom"/>
          </w:tcPr>
          <w:p w14:paraId="78857E00" w14:textId="77777777" w:rsidR="00C4160A" w:rsidRDefault="00C4160A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 ± 2.4%</w:t>
            </w:r>
          </w:p>
        </w:tc>
        <w:tc>
          <w:tcPr>
            <w:tcW w:w="1170" w:type="dxa"/>
            <w:vAlign w:val="bottom"/>
          </w:tcPr>
          <w:p w14:paraId="343FBA71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  <w:tc>
          <w:tcPr>
            <w:tcW w:w="1170" w:type="dxa"/>
            <w:vAlign w:val="bottom"/>
          </w:tcPr>
          <w:p w14:paraId="0BE03F05" w14:textId="77777777" w:rsidR="00C4160A" w:rsidRDefault="00C4160A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&gt;70%</w:t>
            </w:r>
          </w:p>
        </w:tc>
      </w:tr>
    </w:tbl>
    <w:p w14:paraId="51E05E90" w14:textId="77777777" w:rsidR="00C4160A" w:rsidRDefault="00C4160A" w:rsidP="00C4160A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Stationary</w:t>
      </w:r>
      <w:r>
        <w:rPr>
          <w:sz w:val="24"/>
          <w:szCs w:val="24"/>
        </w:rPr>
        <w:t>-</w:t>
      </w:r>
      <w:r>
        <w:rPr>
          <w:rFonts w:hint="eastAsia"/>
          <w:sz w:val="24"/>
          <w:szCs w:val="24"/>
        </w:rPr>
        <w:t xml:space="preserve">phase cultures </w:t>
      </w:r>
      <w:r>
        <w:rPr>
          <w:sz w:val="24"/>
          <w:szCs w:val="24"/>
        </w:rPr>
        <w:t xml:space="preserve">of </w:t>
      </w:r>
      <w:r>
        <w:rPr>
          <w:i/>
          <w:iCs/>
          <w:sz w:val="24"/>
          <w:szCs w:val="24"/>
        </w:rPr>
        <w:t>B. garinii</w:t>
      </w:r>
      <w:r>
        <w:rPr>
          <w:iCs/>
          <w:sz w:val="24"/>
          <w:szCs w:val="24"/>
        </w:rPr>
        <w:t xml:space="preserve"> </w:t>
      </w:r>
      <w:r>
        <w:rPr>
          <w:rFonts w:hint="eastAsia"/>
          <w:iCs/>
          <w:sz w:val="24"/>
          <w:szCs w:val="24"/>
        </w:rPr>
        <w:t>(</w:t>
      </w:r>
      <w:r>
        <w:rPr>
          <w:sz w:val="24"/>
          <w:szCs w:val="24"/>
        </w:rPr>
        <w:t>10-day-old</w:t>
      </w:r>
      <w:r>
        <w:rPr>
          <w:rFonts w:hint="eastAsia"/>
          <w:sz w:val="24"/>
          <w:szCs w:val="24"/>
        </w:rPr>
        <w:t xml:space="preserve">) </w:t>
      </w:r>
      <w:r>
        <w:rPr>
          <w:iCs/>
          <w:sz w:val="24"/>
          <w:szCs w:val="24"/>
        </w:rPr>
        <w:t xml:space="preserve">and </w:t>
      </w:r>
      <w:r>
        <w:rPr>
          <w:i/>
          <w:iCs/>
          <w:sz w:val="24"/>
          <w:szCs w:val="24"/>
        </w:rPr>
        <w:t>B. afzelii</w:t>
      </w:r>
      <w:r>
        <w:rPr>
          <w:iCs/>
          <w:sz w:val="24"/>
          <w:szCs w:val="24"/>
        </w:rPr>
        <w:t xml:space="preserve"> </w:t>
      </w:r>
      <w:r>
        <w:rPr>
          <w:rFonts w:hint="eastAsia"/>
          <w:iCs/>
          <w:sz w:val="24"/>
          <w:szCs w:val="24"/>
        </w:rPr>
        <w:t>(</w:t>
      </w:r>
      <w:r>
        <w:rPr>
          <w:iCs/>
          <w:sz w:val="24"/>
          <w:szCs w:val="24"/>
        </w:rPr>
        <w:t>7-</w:t>
      </w:r>
      <w:r>
        <w:rPr>
          <w:rFonts w:hint="eastAsia"/>
          <w:iCs/>
          <w:sz w:val="24"/>
          <w:szCs w:val="24"/>
        </w:rPr>
        <w:t>day</w:t>
      </w:r>
      <w:r>
        <w:rPr>
          <w:iCs/>
          <w:sz w:val="24"/>
          <w:szCs w:val="24"/>
        </w:rPr>
        <w:t>-old</w:t>
      </w:r>
      <w:r>
        <w:rPr>
          <w:rFonts w:hint="eastAsia"/>
          <w:iCs/>
          <w:sz w:val="24"/>
          <w:szCs w:val="24"/>
        </w:rPr>
        <w:t xml:space="preserve">) </w:t>
      </w:r>
      <w:r>
        <w:rPr>
          <w:iCs/>
          <w:sz w:val="24"/>
          <w:szCs w:val="24"/>
        </w:rPr>
        <w:t>were</w:t>
      </w:r>
      <w:r>
        <w:rPr>
          <w:sz w:val="24"/>
          <w:szCs w:val="24"/>
        </w:rPr>
        <w:t xml:space="preserve"> treated with antibiotics </w:t>
      </w:r>
      <w:r>
        <w:rPr>
          <w:rFonts w:hint="eastAsia"/>
          <w:sz w:val="24"/>
          <w:szCs w:val="24"/>
        </w:rPr>
        <w:t xml:space="preserve">or compounds </w:t>
      </w:r>
      <w:r>
        <w:rPr>
          <w:sz w:val="24"/>
          <w:szCs w:val="24"/>
        </w:rPr>
        <w:t xml:space="preserve">(50 μM) for 7 days. Values were expressed as mean </w:t>
      </w:r>
      <w:r>
        <w:rPr>
          <w:color w:val="000000"/>
          <w:sz w:val="24"/>
          <w:szCs w:val="24"/>
        </w:rPr>
        <w:t>± SD (n=3)</w:t>
      </w:r>
      <w:r>
        <w:rPr>
          <w:sz w:val="24"/>
          <w:szCs w:val="24"/>
        </w:rPr>
        <w:t>. The clinically used LD antibiotics are in bold.</w:t>
      </w:r>
    </w:p>
    <w:p w14:paraId="2C1E6606" w14:textId="1A389D3E" w:rsidR="000F145E" w:rsidRDefault="000F145E" w:rsidP="006A70DD">
      <w:pPr>
        <w:rPr>
          <w:iCs/>
          <w:sz w:val="24"/>
          <w:szCs w:val="24"/>
        </w:rPr>
      </w:pPr>
    </w:p>
    <w:p w14:paraId="4869BA33" w14:textId="77777777" w:rsidR="00222784" w:rsidRDefault="00222784" w:rsidP="00222784">
      <w:pPr>
        <w:spacing w:line="360" w:lineRule="auto"/>
        <w:rPr>
          <w:b/>
          <w:bCs/>
          <w:sz w:val="24"/>
          <w:szCs w:val="24"/>
        </w:rPr>
        <w:sectPr w:rsidR="00222784" w:rsidSect="00D24ED2">
          <w:pgSz w:w="12240" w:h="15840"/>
          <w:pgMar w:top="1440" w:right="900" w:bottom="1440" w:left="900" w:header="720" w:footer="720" w:gutter="0"/>
          <w:cols w:space="720"/>
          <w:docGrid w:linePitch="360"/>
        </w:sectPr>
      </w:pPr>
    </w:p>
    <w:p w14:paraId="3A3F05C2" w14:textId="08FF6246" w:rsidR="00222784" w:rsidRDefault="00222784" w:rsidP="00222784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 xml:space="preserve">Table S2. </w:t>
      </w:r>
      <w:r>
        <w:rPr>
          <w:b/>
          <w:sz w:val="24"/>
          <w:szCs w:val="24"/>
        </w:rPr>
        <w:t xml:space="preserve">Subculture tests to evaluate the residual viability of stationary-phase </w:t>
      </w:r>
      <w:r>
        <w:rPr>
          <w:b/>
          <w:i/>
          <w:iCs/>
          <w:sz w:val="24"/>
          <w:szCs w:val="24"/>
        </w:rPr>
        <w:t>Borrelia</w:t>
      </w:r>
      <w:r>
        <w:rPr>
          <w:b/>
          <w:sz w:val="24"/>
          <w:szCs w:val="24"/>
        </w:rPr>
        <w:t xml:space="preserve"> after drug exposure</w:t>
      </w:r>
      <w:r>
        <w:rPr>
          <w:b/>
          <w:iCs/>
          <w:sz w:val="24"/>
          <w:szCs w:val="24"/>
        </w:rPr>
        <w:t>.</w:t>
      </w:r>
    </w:p>
    <w:tbl>
      <w:tblPr>
        <w:tblW w:w="7259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607"/>
        <w:gridCol w:w="1337"/>
        <w:gridCol w:w="1350"/>
      </w:tblGrid>
      <w:tr w:rsidR="00222784" w14:paraId="70F64C6C" w14:textId="77777777" w:rsidTr="0026624A">
        <w:trPr>
          <w:trHeight w:val="314"/>
        </w:trPr>
        <w:tc>
          <w:tcPr>
            <w:tcW w:w="2965" w:type="dxa"/>
            <w:vMerge w:val="restart"/>
            <w:shd w:val="clear" w:color="auto" w:fill="auto"/>
            <w:vAlign w:val="center"/>
          </w:tcPr>
          <w:p w14:paraId="1ECCC017" w14:textId="77777777" w:rsidR="00222784" w:rsidRDefault="00222784" w:rsidP="0026624A">
            <w:pPr>
              <w:spacing w:line="360" w:lineRule="auto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 xml:space="preserve">Drug or drug combination (10 </w:t>
            </w:r>
            <w:r>
              <w:rPr>
                <w:sz w:val="24"/>
                <w:szCs w:val="24"/>
              </w:rPr>
              <w:t>μg/mL)</w:t>
            </w:r>
          </w:p>
        </w:tc>
        <w:tc>
          <w:tcPr>
            <w:tcW w:w="4294" w:type="dxa"/>
            <w:gridSpan w:val="3"/>
            <w:shd w:val="clear" w:color="auto" w:fill="auto"/>
            <w:vAlign w:val="center"/>
          </w:tcPr>
          <w:p w14:paraId="2FF1F950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Ratio of positive culture (positive/total)</w:t>
            </w:r>
          </w:p>
        </w:tc>
      </w:tr>
      <w:tr w:rsidR="00222784" w14:paraId="0D38027C" w14:textId="77777777" w:rsidTr="0026624A">
        <w:trPr>
          <w:trHeight w:val="314"/>
        </w:trPr>
        <w:tc>
          <w:tcPr>
            <w:tcW w:w="296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3DECDB0" w14:textId="77777777" w:rsidR="00222784" w:rsidRDefault="00222784" w:rsidP="0026624A">
            <w:pPr>
              <w:spacing w:line="360" w:lineRule="auto"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585958F" w14:textId="77777777" w:rsidR="00222784" w:rsidRDefault="00222784" w:rsidP="0026624A">
            <w:pPr>
              <w:spacing w:line="360" w:lineRule="auto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Bbu</w:t>
            </w:r>
          </w:p>
        </w:tc>
        <w:tc>
          <w:tcPr>
            <w:tcW w:w="1337" w:type="dxa"/>
            <w:tcBorders>
              <w:bottom w:val="single" w:sz="4" w:space="0" w:color="auto"/>
            </w:tcBorders>
            <w:vAlign w:val="center"/>
          </w:tcPr>
          <w:p w14:paraId="70C74066" w14:textId="77777777" w:rsidR="00222784" w:rsidRDefault="00222784" w:rsidP="0026624A">
            <w:pPr>
              <w:spacing w:line="360" w:lineRule="auto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Bga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vAlign w:val="center"/>
          </w:tcPr>
          <w:p w14:paraId="26FE84C3" w14:textId="77777777" w:rsidR="00222784" w:rsidRDefault="00222784" w:rsidP="0026624A">
            <w:pPr>
              <w:spacing w:line="360" w:lineRule="auto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Baf</w:t>
            </w:r>
          </w:p>
        </w:tc>
      </w:tr>
      <w:tr w:rsidR="00222784" w14:paraId="21074955" w14:textId="77777777" w:rsidTr="0026624A">
        <w:trPr>
          <w:trHeight w:val="314"/>
        </w:trPr>
        <w:tc>
          <w:tcPr>
            <w:tcW w:w="2965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8C41A20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Drug free control</w:t>
            </w:r>
          </w:p>
        </w:tc>
        <w:tc>
          <w:tcPr>
            <w:tcW w:w="160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562B179D" w14:textId="77777777" w:rsidR="00222784" w:rsidRDefault="00222784" w:rsidP="0026624A">
            <w:pPr>
              <w:spacing w:line="360" w:lineRule="auto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5/5</w:t>
            </w:r>
          </w:p>
        </w:tc>
        <w:tc>
          <w:tcPr>
            <w:tcW w:w="1337" w:type="dxa"/>
            <w:tcBorders>
              <w:top w:val="single" w:sz="4" w:space="0" w:color="auto"/>
              <w:bottom w:val="nil"/>
            </w:tcBorders>
          </w:tcPr>
          <w:p w14:paraId="4E35C1A5" w14:textId="77777777" w:rsidR="00222784" w:rsidRDefault="00222784" w:rsidP="0026624A">
            <w:pPr>
              <w:spacing w:line="360" w:lineRule="auto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5/5</w:t>
            </w:r>
          </w:p>
        </w:tc>
        <w:tc>
          <w:tcPr>
            <w:tcW w:w="1350" w:type="dxa"/>
            <w:tcBorders>
              <w:top w:val="single" w:sz="4" w:space="0" w:color="auto"/>
              <w:bottom w:val="nil"/>
            </w:tcBorders>
          </w:tcPr>
          <w:p w14:paraId="7F52A816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5/5</w:t>
            </w:r>
          </w:p>
        </w:tc>
      </w:tr>
      <w:tr w:rsidR="00222784" w14:paraId="4A4B7FAD" w14:textId="77777777" w:rsidTr="0026624A">
        <w:trPr>
          <w:trHeight w:val="314"/>
        </w:trPr>
        <w:tc>
          <w:tcPr>
            <w:tcW w:w="2965" w:type="dxa"/>
            <w:tcBorders>
              <w:top w:val="nil"/>
            </w:tcBorders>
            <w:shd w:val="clear" w:color="auto" w:fill="auto"/>
            <w:vAlign w:val="center"/>
          </w:tcPr>
          <w:p w14:paraId="2F9506BD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bCs/>
                <w:color w:val="000000"/>
                <w:sz w:val="24"/>
                <w:szCs w:val="24"/>
              </w:rPr>
              <w:t>C</w:t>
            </w:r>
            <w:r>
              <w:rPr>
                <w:bCs/>
                <w:color w:val="000000"/>
                <w:sz w:val="24"/>
                <w:szCs w:val="24"/>
              </w:rPr>
              <w:t>RO+DOX</w:t>
            </w:r>
          </w:p>
        </w:tc>
        <w:tc>
          <w:tcPr>
            <w:tcW w:w="1607" w:type="dxa"/>
            <w:tcBorders>
              <w:top w:val="nil"/>
            </w:tcBorders>
            <w:shd w:val="clear" w:color="auto" w:fill="auto"/>
          </w:tcPr>
          <w:p w14:paraId="033057BB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5/5</w:t>
            </w:r>
          </w:p>
        </w:tc>
        <w:tc>
          <w:tcPr>
            <w:tcW w:w="1337" w:type="dxa"/>
            <w:tcBorders>
              <w:top w:val="nil"/>
            </w:tcBorders>
          </w:tcPr>
          <w:p w14:paraId="70A256F4" w14:textId="77777777" w:rsidR="00222784" w:rsidRDefault="00222784" w:rsidP="0026624A">
            <w:pPr>
              <w:spacing w:line="360" w:lineRule="auto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5/5</w:t>
            </w:r>
          </w:p>
        </w:tc>
        <w:tc>
          <w:tcPr>
            <w:tcW w:w="1350" w:type="dxa"/>
            <w:tcBorders>
              <w:top w:val="nil"/>
            </w:tcBorders>
          </w:tcPr>
          <w:p w14:paraId="1EEECD6D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5/5</w:t>
            </w:r>
          </w:p>
        </w:tc>
      </w:tr>
      <w:tr w:rsidR="00222784" w14:paraId="47EAF7AA" w14:textId="77777777" w:rsidTr="0026624A">
        <w:trPr>
          <w:trHeight w:val="314"/>
        </w:trPr>
        <w:tc>
          <w:tcPr>
            <w:tcW w:w="2965" w:type="dxa"/>
            <w:shd w:val="clear" w:color="auto" w:fill="auto"/>
            <w:vAlign w:val="center"/>
          </w:tcPr>
          <w:p w14:paraId="4D6DE8B6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DAP</w:t>
            </w:r>
          </w:p>
        </w:tc>
        <w:tc>
          <w:tcPr>
            <w:tcW w:w="1607" w:type="dxa"/>
            <w:shd w:val="clear" w:color="auto" w:fill="auto"/>
          </w:tcPr>
          <w:p w14:paraId="0C85784B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5/5</w:t>
            </w:r>
          </w:p>
        </w:tc>
        <w:tc>
          <w:tcPr>
            <w:tcW w:w="1337" w:type="dxa"/>
          </w:tcPr>
          <w:p w14:paraId="7764977B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5/5</w:t>
            </w:r>
          </w:p>
        </w:tc>
        <w:tc>
          <w:tcPr>
            <w:tcW w:w="1350" w:type="dxa"/>
          </w:tcPr>
          <w:p w14:paraId="69143966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5/5</w:t>
            </w:r>
          </w:p>
        </w:tc>
      </w:tr>
      <w:tr w:rsidR="00222784" w14:paraId="3456D057" w14:textId="77777777" w:rsidTr="0026624A">
        <w:trPr>
          <w:trHeight w:val="314"/>
        </w:trPr>
        <w:tc>
          <w:tcPr>
            <w:tcW w:w="2965" w:type="dxa"/>
            <w:shd w:val="clear" w:color="auto" w:fill="auto"/>
            <w:vAlign w:val="center"/>
          </w:tcPr>
          <w:p w14:paraId="1C2C0708" w14:textId="77777777" w:rsidR="00222784" w:rsidRDefault="00222784" w:rsidP="0026624A">
            <w:pPr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DAP+CRO+DOX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60168250" w14:textId="77777777" w:rsidR="00222784" w:rsidRDefault="00222784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0/5</w:t>
            </w:r>
          </w:p>
        </w:tc>
        <w:tc>
          <w:tcPr>
            <w:tcW w:w="1337" w:type="dxa"/>
            <w:vAlign w:val="center"/>
          </w:tcPr>
          <w:p w14:paraId="5A92310B" w14:textId="77777777" w:rsidR="00222784" w:rsidRDefault="00222784" w:rsidP="0026624A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0/5</w:t>
            </w:r>
          </w:p>
        </w:tc>
        <w:tc>
          <w:tcPr>
            <w:tcW w:w="1350" w:type="dxa"/>
            <w:vAlign w:val="center"/>
          </w:tcPr>
          <w:p w14:paraId="3570681C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1/5</w:t>
            </w:r>
          </w:p>
        </w:tc>
      </w:tr>
      <w:tr w:rsidR="00222784" w14:paraId="18A0DD8E" w14:textId="77777777" w:rsidTr="0026624A">
        <w:trPr>
          <w:trHeight w:val="314"/>
        </w:trPr>
        <w:tc>
          <w:tcPr>
            <w:tcW w:w="2965" w:type="dxa"/>
            <w:shd w:val="clear" w:color="auto" w:fill="auto"/>
            <w:vAlign w:val="center"/>
          </w:tcPr>
          <w:p w14:paraId="01836F1A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HA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2A49F597" w14:textId="77777777" w:rsidR="00222784" w:rsidRDefault="00222784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0/5</w:t>
            </w:r>
          </w:p>
        </w:tc>
        <w:tc>
          <w:tcPr>
            <w:tcW w:w="1337" w:type="dxa"/>
            <w:vAlign w:val="center"/>
          </w:tcPr>
          <w:p w14:paraId="725F5DB9" w14:textId="77777777" w:rsidR="00222784" w:rsidRDefault="00222784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0/5</w:t>
            </w:r>
          </w:p>
        </w:tc>
        <w:tc>
          <w:tcPr>
            <w:tcW w:w="1350" w:type="dxa"/>
            <w:vAlign w:val="center"/>
          </w:tcPr>
          <w:p w14:paraId="4F9B6C91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1/5</w:t>
            </w:r>
          </w:p>
        </w:tc>
      </w:tr>
      <w:tr w:rsidR="00222784" w14:paraId="24DDE135" w14:textId="77777777" w:rsidTr="0026624A">
        <w:trPr>
          <w:trHeight w:val="314"/>
        </w:trPr>
        <w:tc>
          <w:tcPr>
            <w:tcW w:w="2965" w:type="dxa"/>
            <w:shd w:val="clear" w:color="auto" w:fill="auto"/>
            <w:vAlign w:val="center"/>
          </w:tcPr>
          <w:p w14:paraId="6E60531F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HA+CRO</w:t>
            </w:r>
          </w:p>
        </w:tc>
        <w:tc>
          <w:tcPr>
            <w:tcW w:w="1607" w:type="dxa"/>
            <w:shd w:val="clear" w:color="auto" w:fill="auto"/>
          </w:tcPr>
          <w:p w14:paraId="0061B17E" w14:textId="77777777" w:rsidR="00222784" w:rsidRDefault="00222784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0/5</w:t>
            </w:r>
          </w:p>
        </w:tc>
        <w:tc>
          <w:tcPr>
            <w:tcW w:w="1337" w:type="dxa"/>
          </w:tcPr>
          <w:p w14:paraId="3EE2F189" w14:textId="77777777" w:rsidR="00222784" w:rsidRDefault="00222784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0/5</w:t>
            </w:r>
          </w:p>
        </w:tc>
        <w:tc>
          <w:tcPr>
            <w:tcW w:w="1350" w:type="dxa"/>
          </w:tcPr>
          <w:p w14:paraId="2358E88B" w14:textId="77777777" w:rsidR="00222784" w:rsidRDefault="00222784" w:rsidP="0026624A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0/5</w:t>
            </w:r>
          </w:p>
        </w:tc>
      </w:tr>
      <w:tr w:rsidR="00222784" w14:paraId="71D4E0E5" w14:textId="77777777" w:rsidTr="0026624A">
        <w:trPr>
          <w:trHeight w:val="314"/>
        </w:trPr>
        <w:tc>
          <w:tcPr>
            <w:tcW w:w="2965" w:type="dxa"/>
            <w:shd w:val="clear" w:color="auto" w:fill="auto"/>
            <w:vAlign w:val="center"/>
          </w:tcPr>
          <w:p w14:paraId="6F157762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HA+DOX</w:t>
            </w:r>
          </w:p>
        </w:tc>
        <w:tc>
          <w:tcPr>
            <w:tcW w:w="1607" w:type="dxa"/>
            <w:shd w:val="clear" w:color="auto" w:fill="auto"/>
          </w:tcPr>
          <w:p w14:paraId="2591CF3B" w14:textId="77777777" w:rsidR="00222784" w:rsidRDefault="00222784" w:rsidP="0026624A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0/5</w:t>
            </w:r>
          </w:p>
        </w:tc>
        <w:tc>
          <w:tcPr>
            <w:tcW w:w="1337" w:type="dxa"/>
          </w:tcPr>
          <w:p w14:paraId="65C7E22C" w14:textId="77777777" w:rsidR="00222784" w:rsidRDefault="00222784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0/5</w:t>
            </w:r>
          </w:p>
        </w:tc>
        <w:tc>
          <w:tcPr>
            <w:tcW w:w="1350" w:type="dxa"/>
          </w:tcPr>
          <w:p w14:paraId="403CA6B9" w14:textId="77777777" w:rsidR="00222784" w:rsidRDefault="00222784" w:rsidP="0026624A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0/5</w:t>
            </w:r>
          </w:p>
        </w:tc>
      </w:tr>
      <w:tr w:rsidR="00222784" w14:paraId="0610974E" w14:textId="77777777" w:rsidTr="0026624A">
        <w:trPr>
          <w:trHeight w:val="314"/>
        </w:trPr>
        <w:tc>
          <w:tcPr>
            <w:tcW w:w="2965" w:type="dxa"/>
            <w:shd w:val="clear" w:color="auto" w:fill="auto"/>
            <w:vAlign w:val="center"/>
          </w:tcPr>
          <w:p w14:paraId="0EC49B4B" w14:textId="77777777" w:rsidR="00222784" w:rsidRDefault="00222784" w:rsidP="0026624A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HA+DOX+CRO</w:t>
            </w:r>
          </w:p>
        </w:tc>
        <w:tc>
          <w:tcPr>
            <w:tcW w:w="1607" w:type="dxa"/>
            <w:shd w:val="clear" w:color="auto" w:fill="auto"/>
          </w:tcPr>
          <w:p w14:paraId="27864784" w14:textId="77777777" w:rsidR="00222784" w:rsidRDefault="00222784" w:rsidP="0026624A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0/5</w:t>
            </w:r>
          </w:p>
        </w:tc>
        <w:tc>
          <w:tcPr>
            <w:tcW w:w="1337" w:type="dxa"/>
          </w:tcPr>
          <w:p w14:paraId="6572606D" w14:textId="77777777" w:rsidR="00222784" w:rsidRDefault="00222784" w:rsidP="0026624A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0/5</w:t>
            </w:r>
          </w:p>
        </w:tc>
        <w:tc>
          <w:tcPr>
            <w:tcW w:w="1350" w:type="dxa"/>
          </w:tcPr>
          <w:p w14:paraId="6FEA2EC1" w14:textId="77777777" w:rsidR="00222784" w:rsidRDefault="00222784" w:rsidP="0026624A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0/5</w:t>
            </w:r>
          </w:p>
        </w:tc>
      </w:tr>
    </w:tbl>
    <w:p w14:paraId="08F516F6" w14:textId="351823E0" w:rsidR="000F145E" w:rsidRDefault="000F145E" w:rsidP="006A70DD">
      <w:pPr>
        <w:rPr>
          <w:iCs/>
          <w:sz w:val="24"/>
          <w:szCs w:val="24"/>
        </w:rPr>
      </w:pPr>
    </w:p>
    <w:p w14:paraId="7A7F5B73" w14:textId="77777777" w:rsidR="00222784" w:rsidRDefault="00222784" w:rsidP="000914C5">
      <w:pPr>
        <w:jc w:val="center"/>
        <w:rPr>
          <w:b/>
          <w:i/>
          <w:iCs/>
          <w:sz w:val="24"/>
          <w:szCs w:val="24"/>
        </w:rPr>
      </w:pPr>
      <w:r>
        <w:rPr>
          <w:b/>
          <w:i/>
          <w:iCs/>
          <w:sz w:val="24"/>
          <w:szCs w:val="24"/>
        </w:rPr>
        <w:br w:type="page"/>
      </w:r>
    </w:p>
    <w:p w14:paraId="7A252582" w14:textId="034B4AC0" w:rsidR="000914C5" w:rsidRPr="000914C5" w:rsidRDefault="000914C5" w:rsidP="000914C5">
      <w:pPr>
        <w:jc w:val="center"/>
        <w:rPr>
          <w:b/>
          <w:i/>
          <w:iCs/>
          <w:sz w:val="24"/>
          <w:szCs w:val="24"/>
        </w:rPr>
      </w:pPr>
      <w:r w:rsidRPr="00845E2E">
        <w:rPr>
          <w:b/>
          <w:i/>
          <w:iCs/>
          <w:sz w:val="24"/>
          <w:szCs w:val="24"/>
        </w:rPr>
        <w:lastRenderedPageBreak/>
        <w:t xml:space="preserve">Supplementary </w:t>
      </w:r>
      <w:r>
        <w:rPr>
          <w:b/>
          <w:i/>
          <w:iCs/>
          <w:sz w:val="24"/>
          <w:szCs w:val="24"/>
        </w:rPr>
        <w:t>Figures</w:t>
      </w:r>
    </w:p>
    <w:p w14:paraId="5BE9FED8" w14:textId="6FCD97EE" w:rsidR="00222784" w:rsidRDefault="008F4F95" w:rsidP="00222784">
      <w:pPr>
        <w:spacing w:line="360" w:lineRule="auto"/>
        <w:rPr>
          <w:sz w:val="24"/>
          <w:szCs w:val="24"/>
        </w:rPr>
      </w:pPr>
      <w:r>
        <w:rPr>
          <w:b/>
          <w:iCs/>
          <w:sz w:val="24"/>
          <w:szCs w:val="24"/>
        </w:rPr>
        <w:pict w14:anchorId="16DE8E7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1.55pt;height:272.95pt">
            <v:imagedata r:id="rId7" o:title="Figure1"/>
          </v:shape>
        </w:pict>
      </w:r>
      <w:r w:rsidR="00222784">
        <w:rPr>
          <w:b/>
          <w:iCs/>
          <w:sz w:val="24"/>
          <w:szCs w:val="24"/>
        </w:rPr>
        <w:t>Figure S1. The linear relationship between the viability of</w:t>
      </w:r>
      <w:r w:rsidR="00222784">
        <w:rPr>
          <w:b/>
          <w:i/>
          <w:sz w:val="24"/>
          <w:szCs w:val="24"/>
        </w:rPr>
        <w:t xml:space="preserve"> Borrelia</w:t>
      </w:r>
      <w:r w:rsidR="00222784">
        <w:rPr>
          <w:b/>
          <w:iCs/>
          <w:sz w:val="24"/>
          <w:szCs w:val="24"/>
        </w:rPr>
        <w:t xml:space="preserve"> cells and the ratio of </w:t>
      </w:r>
      <w:r w:rsidR="00222784">
        <w:rPr>
          <w:rFonts w:hint="eastAsia"/>
          <w:b/>
          <w:iCs/>
          <w:sz w:val="24"/>
          <w:szCs w:val="24"/>
        </w:rPr>
        <w:t>Gre</w:t>
      </w:r>
      <w:r w:rsidR="00222784">
        <w:rPr>
          <w:b/>
          <w:iCs/>
          <w:sz w:val="24"/>
          <w:szCs w:val="24"/>
        </w:rPr>
        <w:t>en/Red fluorescence.</w:t>
      </w:r>
      <w:r w:rsidR="00222784">
        <w:rPr>
          <w:iCs/>
          <w:sz w:val="24"/>
          <w:szCs w:val="24"/>
        </w:rPr>
        <w:t xml:space="preserve"> </w:t>
      </w:r>
      <w:r w:rsidR="00222784">
        <w:rPr>
          <w:rFonts w:hint="eastAsia"/>
          <w:iCs/>
          <w:sz w:val="24"/>
          <w:szCs w:val="24"/>
        </w:rPr>
        <w:t>F</w:t>
      </w:r>
      <w:r w:rsidR="00222784">
        <w:rPr>
          <w:iCs/>
          <w:sz w:val="24"/>
          <w:szCs w:val="24"/>
        </w:rPr>
        <w:t>luorescence intensity of various proportions of live and isopropanol-killed</w:t>
      </w:r>
      <w:r w:rsidR="00222784">
        <w:rPr>
          <w:i/>
          <w:iCs/>
          <w:sz w:val="24"/>
          <w:szCs w:val="24"/>
        </w:rPr>
        <w:t xml:space="preserve"> </w:t>
      </w:r>
      <w:r w:rsidR="00222784">
        <w:rPr>
          <w:rFonts w:hint="eastAsia"/>
          <w:i/>
          <w:iCs/>
          <w:sz w:val="24"/>
          <w:szCs w:val="24"/>
        </w:rPr>
        <w:t>B</w:t>
      </w:r>
      <w:r w:rsidR="00222784">
        <w:rPr>
          <w:i/>
          <w:iCs/>
          <w:sz w:val="24"/>
          <w:szCs w:val="24"/>
        </w:rPr>
        <w:t xml:space="preserve">. garinii </w:t>
      </w:r>
      <w:r w:rsidR="00222784">
        <w:rPr>
          <w:iCs/>
          <w:sz w:val="24"/>
          <w:szCs w:val="24"/>
        </w:rPr>
        <w:t xml:space="preserve">(a) and </w:t>
      </w:r>
      <w:r w:rsidR="00222784">
        <w:rPr>
          <w:i/>
          <w:iCs/>
          <w:sz w:val="24"/>
          <w:szCs w:val="24"/>
        </w:rPr>
        <w:t xml:space="preserve">B. afzelii </w:t>
      </w:r>
      <w:r w:rsidR="00222784">
        <w:rPr>
          <w:iCs/>
          <w:sz w:val="24"/>
          <w:szCs w:val="24"/>
        </w:rPr>
        <w:t xml:space="preserve">(a) was obtained from the plate reader after SYBR </w:t>
      </w:r>
      <w:r w:rsidR="00222784">
        <w:rPr>
          <w:rFonts w:hint="eastAsia"/>
          <w:iCs/>
          <w:sz w:val="24"/>
          <w:szCs w:val="24"/>
        </w:rPr>
        <w:t>G</w:t>
      </w:r>
      <w:r w:rsidR="00222784">
        <w:rPr>
          <w:iCs/>
          <w:sz w:val="24"/>
          <w:szCs w:val="24"/>
        </w:rPr>
        <w:t xml:space="preserve">reen I/PI staining. The line is a </w:t>
      </w:r>
      <w:r w:rsidR="00222784">
        <w:rPr>
          <w:rFonts w:hint="eastAsia"/>
          <w:iCs/>
          <w:sz w:val="24"/>
          <w:szCs w:val="24"/>
        </w:rPr>
        <w:t>lin</w:t>
      </w:r>
      <w:r w:rsidR="00222784">
        <w:rPr>
          <w:iCs/>
          <w:sz w:val="24"/>
          <w:szCs w:val="24"/>
        </w:rPr>
        <w:t xml:space="preserve">ear regression fit of the relationship between percentage of live bacteria and the Green/Red fluorescence ratio. </w:t>
      </w:r>
    </w:p>
    <w:p w14:paraId="35623866" w14:textId="77777777" w:rsidR="000914C5" w:rsidRDefault="000914C5" w:rsidP="006A70DD">
      <w:pPr>
        <w:rPr>
          <w:iCs/>
          <w:sz w:val="24"/>
          <w:szCs w:val="24"/>
        </w:rPr>
      </w:pPr>
    </w:p>
    <w:p w14:paraId="78874DE3" w14:textId="5F1B6FFD" w:rsidR="006A70DD" w:rsidRDefault="008F4F95" w:rsidP="00D24ED2">
      <w:pPr>
        <w:rPr>
          <w:iCs/>
          <w:sz w:val="24"/>
          <w:szCs w:val="24"/>
        </w:rPr>
      </w:pPr>
      <w:r>
        <w:rPr>
          <w:iCs/>
          <w:noProof/>
          <w:sz w:val="24"/>
          <w:szCs w:val="24"/>
        </w:rPr>
        <w:lastRenderedPageBreak/>
        <w:pict w14:anchorId="1710CA54">
          <v:shape id="_x0000_i1026" type="#_x0000_t75" style="width:532.8pt;height:285.5pt">
            <v:imagedata r:id="rId8" o:title="FigureS1"/>
          </v:shape>
        </w:pict>
      </w:r>
    </w:p>
    <w:p w14:paraId="79C3E5D6" w14:textId="2046199C" w:rsidR="006A70DD" w:rsidRDefault="006A70DD" w:rsidP="006A70DD">
      <w:pPr>
        <w:rPr>
          <w:iCs/>
          <w:sz w:val="24"/>
          <w:szCs w:val="24"/>
        </w:rPr>
      </w:pPr>
      <w:r w:rsidRPr="00825939">
        <w:rPr>
          <w:b/>
          <w:sz w:val="24"/>
          <w:szCs w:val="24"/>
        </w:rPr>
        <w:t>Figure S</w:t>
      </w:r>
      <w:r w:rsidR="00825939" w:rsidRPr="00825939">
        <w:rPr>
          <w:b/>
          <w:sz w:val="24"/>
          <w:szCs w:val="24"/>
        </w:rPr>
        <w:t>2</w:t>
      </w:r>
      <w:r w:rsidRPr="00825939">
        <w:rPr>
          <w:b/>
          <w:sz w:val="24"/>
          <w:szCs w:val="24"/>
        </w:rPr>
        <w:t xml:space="preserve">. Representative images of stationary-phase </w:t>
      </w:r>
      <w:r w:rsidRPr="00825939">
        <w:rPr>
          <w:b/>
          <w:i/>
          <w:sz w:val="24"/>
          <w:szCs w:val="24"/>
        </w:rPr>
        <w:t>Borrelia</w:t>
      </w:r>
      <w:r w:rsidRPr="00825939">
        <w:rPr>
          <w:b/>
          <w:sz w:val="24"/>
          <w:szCs w:val="24"/>
        </w:rPr>
        <w:t xml:space="preserve"> cells</w:t>
      </w:r>
      <w:r w:rsidRPr="00825939">
        <w:rPr>
          <w:b/>
          <w:i/>
          <w:sz w:val="24"/>
          <w:szCs w:val="24"/>
        </w:rPr>
        <w:t xml:space="preserve"> </w:t>
      </w:r>
      <w:r w:rsidRPr="00825939">
        <w:rPr>
          <w:b/>
          <w:sz w:val="24"/>
          <w:szCs w:val="24"/>
        </w:rPr>
        <w:t>treated with different compounds (20 μ</w:t>
      </w:r>
      <w:r w:rsidRPr="00825939">
        <w:rPr>
          <w:b/>
          <w:iCs/>
          <w:sz w:val="24"/>
          <w:szCs w:val="24"/>
        </w:rPr>
        <w:t xml:space="preserve">g/mL) </w:t>
      </w:r>
      <w:r w:rsidRPr="00825939">
        <w:rPr>
          <w:b/>
          <w:sz w:val="24"/>
          <w:szCs w:val="24"/>
        </w:rPr>
        <w:t>followed by staining with SYBR Green I/PI</w:t>
      </w:r>
      <w:r w:rsidRPr="00825939">
        <w:rPr>
          <w:b/>
          <w:iCs/>
          <w:sz w:val="24"/>
          <w:szCs w:val="24"/>
        </w:rPr>
        <w:t>.</w:t>
      </w:r>
      <w:r>
        <w:rPr>
          <w:iCs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Im</w:t>
      </w:r>
      <w:r>
        <w:rPr>
          <w:sz w:val="24"/>
          <w:szCs w:val="24"/>
        </w:rPr>
        <w:t xml:space="preserve">ages were captured </w:t>
      </w:r>
      <w:r w:rsidRPr="008B4A37">
        <w:rPr>
          <w:sz w:val="24"/>
          <w:szCs w:val="24"/>
        </w:rPr>
        <w:t xml:space="preserve">at </w:t>
      </w:r>
      <w:r>
        <w:rPr>
          <w:sz w:val="24"/>
          <w:szCs w:val="24"/>
        </w:rPr>
        <w:t>4</w:t>
      </w:r>
      <w:r w:rsidRPr="008B4A37">
        <w:rPr>
          <w:sz w:val="24"/>
          <w:szCs w:val="24"/>
        </w:rPr>
        <w:t>0 × magnification</w:t>
      </w:r>
      <w:r>
        <w:rPr>
          <w:sz w:val="24"/>
          <w:szCs w:val="24"/>
        </w:rPr>
        <w:t xml:space="preserve">. </w:t>
      </w:r>
    </w:p>
    <w:p w14:paraId="2D8F9657" w14:textId="1F66C161" w:rsidR="006A70DD" w:rsidRDefault="006A70DD" w:rsidP="006A70DD">
      <w:pPr>
        <w:rPr>
          <w:iCs/>
          <w:sz w:val="24"/>
          <w:szCs w:val="24"/>
        </w:rPr>
      </w:pPr>
    </w:p>
    <w:p w14:paraId="4415657A" w14:textId="77777777" w:rsidR="00130E86" w:rsidRPr="00EF7792" w:rsidRDefault="00130E86" w:rsidP="006A70DD">
      <w:pPr>
        <w:rPr>
          <w:iCs/>
          <w:sz w:val="24"/>
          <w:szCs w:val="24"/>
        </w:rPr>
      </w:pPr>
    </w:p>
    <w:p w14:paraId="64512402" w14:textId="77777777" w:rsidR="00130E86" w:rsidRDefault="00130E86">
      <w:pPr>
        <w:sectPr w:rsidR="00130E86" w:rsidSect="00D24ED2">
          <w:pgSz w:w="12240" w:h="15840"/>
          <w:pgMar w:top="1440" w:right="900" w:bottom="1440" w:left="900" w:header="720" w:footer="720" w:gutter="0"/>
          <w:cols w:space="720"/>
          <w:docGrid w:linePitch="360"/>
        </w:sectPr>
      </w:pPr>
    </w:p>
    <w:p w14:paraId="62BDE86E" w14:textId="17DF4309" w:rsidR="007908F1" w:rsidRDefault="008F4F95">
      <w:r>
        <w:lastRenderedPageBreak/>
        <w:pict w14:anchorId="6A487B33">
          <v:shape id="_x0000_i1027" type="#_x0000_t75" style="width:521.55pt;height:128.35pt">
            <v:imagedata r:id="rId9" o:title="FigureS2-1"/>
          </v:shape>
        </w:pict>
      </w:r>
    </w:p>
    <w:p w14:paraId="57460573" w14:textId="07EEFB72" w:rsidR="00130E86" w:rsidRPr="008B4A37" w:rsidRDefault="00130E86" w:rsidP="00130E86">
      <w:pPr>
        <w:rPr>
          <w:sz w:val="24"/>
          <w:szCs w:val="24"/>
        </w:rPr>
      </w:pPr>
      <w:r w:rsidRPr="00825939">
        <w:rPr>
          <w:rFonts w:hint="eastAsia"/>
          <w:b/>
          <w:iCs/>
          <w:sz w:val="24"/>
          <w:szCs w:val="24"/>
        </w:rPr>
        <w:t>Figure S</w:t>
      </w:r>
      <w:r w:rsidR="00825939">
        <w:rPr>
          <w:b/>
          <w:iCs/>
          <w:sz w:val="24"/>
          <w:szCs w:val="24"/>
        </w:rPr>
        <w:t>3</w:t>
      </w:r>
      <w:r w:rsidRPr="00825939">
        <w:rPr>
          <w:b/>
          <w:iCs/>
          <w:sz w:val="24"/>
          <w:szCs w:val="24"/>
        </w:rPr>
        <w:t xml:space="preserve">. </w:t>
      </w:r>
      <w:r w:rsidRPr="00825939">
        <w:rPr>
          <w:b/>
          <w:sz w:val="24"/>
          <w:szCs w:val="24"/>
        </w:rPr>
        <w:t xml:space="preserve">Representative images of </w:t>
      </w:r>
      <w:r w:rsidRPr="00825939">
        <w:rPr>
          <w:b/>
          <w:i/>
          <w:sz w:val="24"/>
          <w:szCs w:val="24"/>
        </w:rPr>
        <w:t>Borrelia</w:t>
      </w:r>
      <w:r w:rsidRPr="00825939">
        <w:rPr>
          <w:b/>
          <w:sz w:val="24"/>
          <w:szCs w:val="24"/>
        </w:rPr>
        <w:t xml:space="preserve"> </w:t>
      </w:r>
      <w:r w:rsidRPr="00825939">
        <w:rPr>
          <w:rFonts w:hint="eastAsia"/>
          <w:b/>
          <w:sz w:val="24"/>
          <w:szCs w:val="24"/>
        </w:rPr>
        <w:t>biofilms</w:t>
      </w:r>
      <w:r w:rsidRPr="00825939">
        <w:rPr>
          <w:b/>
          <w:iCs/>
          <w:sz w:val="24"/>
          <w:szCs w:val="24"/>
        </w:rPr>
        <w:t xml:space="preserve"> </w:t>
      </w:r>
      <w:r w:rsidRPr="00825939">
        <w:rPr>
          <w:b/>
          <w:sz w:val="24"/>
          <w:szCs w:val="24"/>
        </w:rPr>
        <w:t>followed by SYBR Green I/PI staining</w:t>
      </w:r>
      <w:r w:rsidRPr="00825939">
        <w:rPr>
          <w:b/>
          <w:iCs/>
          <w:sz w:val="24"/>
          <w:szCs w:val="24"/>
        </w:rPr>
        <w:t>.</w:t>
      </w:r>
      <w:r w:rsidRPr="00825939">
        <w:rPr>
          <w:rFonts w:hint="eastAsia"/>
          <w:b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Im</w:t>
      </w:r>
      <w:r>
        <w:rPr>
          <w:sz w:val="24"/>
          <w:szCs w:val="24"/>
        </w:rPr>
        <w:t xml:space="preserve">ages were captured </w:t>
      </w:r>
      <w:r w:rsidRPr="008B4A37">
        <w:rPr>
          <w:sz w:val="24"/>
          <w:szCs w:val="24"/>
        </w:rPr>
        <w:t xml:space="preserve">at </w:t>
      </w:r>
      <w:r>
        <w:rPr>
          <w:sz w:val="24"/>
          <w:szCs w:val="24"/>
        </w:rPr>
        <w:t>4</w:t>
      </w:r>
      <w:r w:rsidRPr="008B4A37">
        <w:rPr>
          <w:sz w:val="24"/>
          <w:szCs w:val="24"/>
        </w:rPr>
        <w:t>0</w:t>
      </w:r>
      <w:r>
        <w:rPr>
          <w:sz w:val="24"/>
          <w:szCs w:val="24"/>
        </w:rPr>
        <w:t>0</w:t>
      </w:r>
      <w:r w:rsidRPr="008B4A37">
        <w:rPr>
          <w:sz w:val="24"/>
          <w:szCs w:val="24"/>
        </w:rPr>
        <w:t xml:space="preserve"> × magnification</w:t>
      </w:r>
      <w:r w:rsidR="00340B29" w:rsidRPr="00340B29">
        <w:rPr>
          <w:sz w:val="24"/>
          <w:szCs w:val="24"/>
        </w:rPr>
        <w:t xml:space="preserve"> </w:t>
      </w:r>
      <w:r w:rsidR="00340B29">
        <w:rPr>
          <w:sz w:val="24"/>
          <w:szCs w:val="24"/>
        </w:rPr>
        <w:t>with fluorescence microscopy</w:t>
      </w:r>
      <w:r>
        <w:rPr>
          <w:sz w:val="24"/>
          <w:szCs w:val="24"/>
        </w:rPr>
        <w:t>.</w:t>
      </w:r>
    </w:p>
    <w:p w14:paraId="6B1B6FBB" w14:textId="77777777" w:rsidR="00130E86" w:rsidRDefault="00130E86"/>
    <w:p w14:paraId="04110D02" w14:textId="68F29492" w:rsidR="00E62A11" w:rsidRDefault="008F4F95" w:rsidP="00E62A11">
      <w:pPr>
        <w:rPr>
          <w:iCs/>
          <w:sz w:val="24"/>
          <w:szCs w:val="24"/>
        </w:rPr>
      </w:pPr>
      <w:r>
        <w:rPr>
          <w:iCs/>
          <w:noProof/>
          <w:sz w:val="24"/>
          <w:szCs w:val="24"/>
        </w:rPr>
        <w:lastRenderedPageBreak/>
        <w:pict w14:anchorId="7B29B7E8">
          <v:shape id="_x0000_i1028" type="#_x0000_t75" style="width:455.15pt;height:609.2pt">
            <v:imagedata r:id="rId10" o:title="FigureS2"/>
          </v:shape>
        </w:pict>
      </w:r>
    </w:p>
    <w:p w14:paraId="1D2CBFF3" w14:textId="14272A95" w:rsidR="00E62A11" w:rsidRPr="008B4A37" w:rsidRDefault="00E62A11" w:rsidP="00E62A11">
      <w:pPr>
        <w:rPr>
          <w:sz w:val="24"/>
          <w:szCs w:val="24"/>
        </w:rPr>
      </w:pPr>
      <w:r w:rsidRPr="008F4F95">
        <w:rPr>
          <w:rFonts w:hint="eastAsia"/>
          <w:b/>
          <w:iCs/>
          <w:sz w:val="24"/>
          <w:szCs w:val="24"/>
        </w:rPr>
        <w:t>Figure S</w:t>
      </w:r>
      <w:r w:rsidR="008F4F95" w:rsidRPr="008F4F95">
        <w:rPr>
          <w:b/>
          <w:iCs/>
          <w:sz w:val="24"/>
          <w:szCs w:val="24"/>
        </w:rPr>
        <w:t>4</w:t>
      </w:r>
      <w:r w:rsidRPr="008F4F95">
        <w:rPr>
          <w:b/>
          <w:iCs/>
          <w:sz w:val="24"/>
          <w:szCs w:val="24"/>
        </w:rPr>
        <w:t xml:space="preserve">. </w:t>
      </w:r>
      <w:r w:rsidRPr="008F4F95">
        <w:rPr>
          <w:b/>
          <w:sz w:val="24"/>
          <w:szCs w:val="24"/>
        </w:rPr>
        <w:t xml:space="preserve">Representative images of stationary phase </w:t>
      </w:r>
      <w:r w:rsidRPr="008F4F95">
        <w:rPr>
          <w:b/>
          <w:i/>
          <w:sz w:val="24"/>
          <w:szCs w:val="24"/>
        </w:rPr>
        <w:t>Borrelia</w:t>
      </w:r>
      <w:r w:rsidRPr="008F4F95">
        <w:rPr>
          <w:b/>
          <w:sz w:val="24"/>
          <w:szCs w:val="24"/>
        </w:rPr>
        <w:t xml:space="preserve"> cells</w:t>
      </w:r>
      <w:r w:rsidRPr="008F4F95">
        <w:rPr>
          <w:b/>
          <w:i/>
          <w:sz w:val="24"/>
          <w:szCs w:val="24"/>
        </w:rPr>
        <w:t xml:space="preserve"> </w:t>
      </w:r>
      <w:r w:rsidRPr="008F4F95">
        <w:rPr>
          <w:b/>
          <w:sz w:val="24"/>
          <w:szCs w:val="24"/>
        </w:rPr>
        <w:t>treated with drugs and drug combinations (10 μ</w:t>
      </w:r>
      <w:r w:rsidRPr="008F4F95">
        <w:rPr>
          <w:b/>
          <w:iCs/>
          <w:sz w:val="24"/>
          <w:szCs w:val="24"/>
        </w:rPr>
        <w:t xml:space="preserve">g/mL) </w:t>
      </w:r>
      <w:r w:rsidRPr="008F4F95">
        <w:rPr>
          <w:b/>
          <w:sz w:val="24"/>
          <w:szCs w:val="24"/>
        </w:rPr>
        <w:t>followed by SYBR Green I/PI</w:t>
      </w:r>
      <w:r w:rsidR="008F5D36" w:rsidRPr="008F4F95">
        <w:rPr>
          <w:b/>
          <w:sz w:val="24"/>
          <w:szCs w:val="24"/>
        </w:rPr>
        <w:t xml:space="preserve"> staining</w:t>
      </w:r>
      <w:r w:rsidRPr="008F4F95">
        <w:rPr>
          <w:b/>
          <w:iCs/>
          <w:sz w:val="24"/>
          <w:szCs w:val="24"/>
        </w:rPr>
        <w:t>.</w:t>
      </w:r>
      <w:r w:rsidRPr="00E2656B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Im</w:t>
      </w:r>
      <w:r>
        <w:rPr>
          <w:sz w:val="24"/>
          <w:szCs w:val="24"/>
        </w:rPr>
        <w:t xml:space="preserve">ages were captured </w:t>
      </w:r>
      <w:r w:rsidRPr="008B4A37">
        <w:rPr>
          <w:sz w:val="24"/>
          <w:szCs w:val="24"/>
        </w:rPr>
        <w:t xml:space="preserve">at </w:t>
      </w:r>
      <w:r>
        <w:rPr>
          <w:sz w:val="24"/>
          <w:szCs w:val="24"/>
        </w:rPr>
        <w:t>4</w:t>
      </w:r>
      <w:r w:rsidRPr="008B4A37">
        <w:rPr>
          <w:sz w:val="24"/>
          <w:szCs w:val="24"/>
        </w:rPr>
        <w:t xml:space="preserve">0 × </w:t>
      </w:r>
      <w:r w:rsidRPr="008B4A37">
        <w:rPr>
          <w:sz w:val="24"/>
          <w:szCs w:val="24"/>
        </w:rPr>
        <w:lastRenderedPageBreak/>
        <w:t>magnification</w:t>
      </w:r>
      <w:r>
        <w:rPr>
          <w:sz w:val="24"/>
          <w:szCs w:val="24"/>
        </w:rPr>
        <w:t>.</w:t>
      </w:r>
    </w:p>
    <w:p w14:paraId="3623A24E" w14:textId="77777777" w:rsidR="00420AAA" w:rsidRPr="008F5D36" w:rsidRDefault="00420AAA">
      <w:pPr>
        <w:sectPr w:rsidR="00420AAA" w:rsidRPr="008F5D36" w:rsidSect="00D24ED2">
          <w:pgSz w:w="12240" w:h="15840"/>
          <w:pgMar w:top="1440" w:right="900" w:bottom="1440" w:left="900" w:header="720" w:footer="720" w:gutter="0"/>
          <w:cols w:space="720"/>
          <w:docGrid w:linePitch="360"/>
        </w:sectPr>
      </w:pPr>
    </w:p>
    <w:p w14:paraId="6FDDA4E0" w14:textId="7D6277D2" w:rsidR="00420AAA" w:rsidRDefault="00914565">
      <w:r>
        <w:rPr>
          <w:noProof/>
        </w:rPr>
        <w:lastRenderedPageBreak/>
        <w:drawing>
          <wp:inline distT="0" distB="0" distL="0" distR="0" wp14:anchorId="2354F7E9" wp14:editId="5FB5AFDB">
            <wp:extent cx="3067050" cy="3368179"/>
            <wp:effectExtent l="0" t="0" r="0" b="3810"/>
            <wp:docPr id="2" name="图片 2" descr="E:\我的坚果云\Studies\borrelia\BafBgaDrugScreen\Figure S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我的坚果云\Studies\borrelia\BafBgaDrugScreen\Figure S4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678" cy="3375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4072C" w14:textId="3B8C2AF2" w:rsidR="00BC02B8" w:rsidRPr="008F4F95" w:rsidRDefault="00BC02B8" w:rsidP="00BC02B8">
      <w:pPr>
        <w:rPr>
          <w:b/>
          <w:sz w:val="24"/>
          <w:szCs w:val="24"/>
        </w:rPr>
      </w:pPr>
      <w:r w:rsidRPr="008F4F95">
        <w:rPr>
          <w:rFonts w:hint="eastAsia"/>
          <w:b/>
          <w:sz w:val="24"/>
          <w:szCs w:val="24"/>
        </w:rPr>
        <w:t>F</w:t>
      </w:r>
      <w:r w:rsidRPr="008F4F95">
        <w:rPr>
          <w:b/>
          <w:sz w:val="24"/>
          <w:szCs w:val="24"/>
        </w:rPr>
        <w:t>igure S</w:t>
      </w:r>
      <w:r w:rsidR="008F4F95" w:rsidRPr="008F4F95">
        <w:rPr>
          <w:b/>
          <w:sz w:val="24"/>
          <w:szCs w:val="24"/>
        </w:rPr>
        <w:t>5</w:t>
      </w:r>
      <w:r w:rsidRPr="008F4F95">
        <w:rPr>
          <w:b/>
          <w:sz w:val="24"/>
          <w:szCs w:val="24"/>
        </w:rPr>
        <w:t xml:space="preserve">. Detection of ROS in the </w:t>
      </w:r>
      <w:r w:rsidRPr="008F4F95">
        <w:rPr>
          <w:b/>
          <w:i/>
          <w:sz w:val="24"/>
          <w:szCs w:val="24"/>
        </w:rPr>
        <w:t xml:space="preserve">Bb </w:t>
      </w:r>
      <w:r w:rsidRPr="008F4F95">
        <w:rPr>
          <w:b/>
          <w:sz w:val="24"/>
          <w:szCs w:val="24"/>
        </w:rPr>
        <w:t xml:space="preserve">with DCFH-AD assay. </w:t>
      </w:r>
      <w:bookmarkStart w:id="0" w:name="_GoBack"/>
      <w:bookmarkEnd w:id="0"/>
      <w:r w:rsidRPr="008F5D36">
        <w:rPr>
          <w:sz w:val="24"/>
          <w:szCs w:val="24"/>
        </w:rPr>
        <w:t xml:space="preserve">For detection and quantification of intracellular ROS produced by hypocrellin A treatment, </w:t>
      </w:r>
      <w:r w:rsidR="0090759F">
        <w:rPr>
          <w:sz w:val="24"/>
          <w:szCs w:val="24"/>
        </w:rPr>
        <w:t xml:space="preserve">a </w:t>
      </w:r>
      <w:r w:rsidRPr="008F5D36">
        <w:rPr>
          <w:sz w:val="24"/>
          <w:szCs w:val="24"/>
        </w:rPr>
        <w:t>cell-permeable probe, 2’,7’-</w:t>
      </w:r>
      <w:r w:rsidR="00934DBA" w:rsidRPr="008F5D36">
        <w:rPr>
          <w:rFonts w:hint="eastAsia"/>
          <w:sz w:val="24"/>
          <w:szCs w:val="24"/>
        </w:rPr>
        <w:t>dichlorofluoresc</w:t>
      </w:r>
      <w:r w:rsidR="00934DBA" w:rsidRPr="008F5D36">
        <w:rPr>
          <w:sz w:val="24"/>
          <w:szCs w:val="24"/>
        </w:rPr>
        <w:t>ein</w:t>
      </w:r>
      <w:r w:rsidRPr="008F5D36">
        <w:rPr>
          <w:sz w:val="24"/>
          <w:szCs w:val="24"/>
        </w:rPr>
        <w:t xml:space="preserve"> diacetate (DCFH-DA, Sigma-Aldrich, USA) was used according to </w:t>
      </w:r>
      <w:r w:rsidR="00934DBA" w:rsidRPr="008F5D36">
        <w:rPr>
          <w:sz w:val="24"/>
          <w:szCs w:val="24"/>
        </w:rPr>
        <w:t xml:space="preserve">the report of </w:t>
      </w:r>
      <w:r w:rsidRPr="008F5D36">
        <w:rPr>
          <w:sz w:val="24"/>
          <w:szCs w:val="24"/>
        </w:rPr>
        <w:t xml:space="preserve">Rosenkranz, A. R. et al. </w:t>
      </w:r>
      <w:r w:rsidR="00934DBA" w:rsidRPr="008F5D36">
        <w:rPr>
          <w:sz w:val="24"/>
          <w:szCs w:val="24"/>
        </w:rPr>
        <w:t>1992</w:t>
      </w:r>
      <w:r w:rsidRPr="008F5D36">
        <w:rPr>
          <w:sz w:val="24"/>
          <w:szCs w:val="24"/>
        </w:rPr>
        <w:t>.  Exponential</w:t>
      </w:r>
      <w:r w:rsidR="008E1FED">
        <w:rPr>
          <w:rFonts w:hint="eastAsia"/>
          <w:sz w:val="24"/>
          <w:szCs w:val="24"/>
        </w:rPr>
        <w:t>-</w:t>
      </w:r>
      <w:r w:rsidRPr="008F5D36">
        <w:rPr>
          <w:sz w:val="24"/>
          <w:szCs w:val="24"/>
        </w:rPr>
        <w:t xml:space="preserve">phase </w:t>
      </w:r>
      <w:r w:rsidRPr="008F5D36">
        <w:rPr>
          <w:i/>
          <w:sz w:val="24"/>
          <w:szCs w:val="24"/>
        </w:rPr>
        <w:t xml:space="preserve">B. burgdorferi </w:t>
      </w:r>
      <w:r w:rsidRPr="008F5D36">
        <w:rPr>
          <w:sz w:val="24"/>
          <w:szCs w:val="24"/>
        </w:rPr>
        <w:t xml:space="preserve">cells exposed to hypocrellin A </w:t>
      </w:r>
      <w:r w:rsidR="008E1FED">
        <w:rPr>
          <w:rFonts w:hint="eastAsia"/>
          <w:sz w:val="24"/>
          <w:szCs w:val="24"/>
        </w:rPr>
        <w:t>with</w:t>
      </w:r>
      <w:r w:rsidR="008E1FED">
        <w:rPr>
          <w:sz w:val="24"/>
          <w:szCs w:val="24"/>
        </w:rPr>
        <w:t xml:space="preserve"> </w:t>
      </w:r>
      <w:r w:rsidR="003942E6" w:rsidRPr="008F5D36">
        <w:rPr>
          <w:sz w:val="24"/>
          <w:szCs w:val="24"/>
        </w:rPr>
        <w:t xml:space="preserve">860 lux illumination </w:t>
      </w:r>
      <w:r w:rsidRPr="008F5D36">
        <w:rPr>
          <w:sz w:val="24"/>
          <w:szCs w:val="24"/>
        </w:rPr>
        <w:t>were withdrawn</w:t>
      </w:r>
      <w:r w:rsidR="003942E6" w:rsidRPr="008F5D36">
        <w:rPr>
          <w:sz w:val="24"/>
          <w:szCs w:val="24"/>
        </w:rPr>
        <w:t xml:space="preserve"> </w:t>
      </w:r>
      <w:r w:rsidR="003942E6" w:rsidRPr="008F5D36">
        <w:rPr>
          <w:rFonts w:hint="eastAsia"/>
          <w:sz w:val="24"/>
          <w:szCs w:val="24"/>
        </w:rPr>
        <w:t>at</w:t>
      </w:r>
      <w:r w:rsidR="003942E6" w:rsidRPr="008F5D36">
        <w:rPr>
          <w:sz w:val="24"/>
          <w:szCs w:val="24"/>
        </w:rPr>
        <w:t xml:space="preserve"> different </w:t>
      </w:r>
      <w:r w:rsidR="003942E6" w:rsidRPr="008F5D36">
        <w:rPr>
          <w:rFonts w:hint="eastAsia"/>
          <w:sz w:val="24"/>
          <w:szCs w:val="24"/>
        </w:rPr>
        <w:t>times</w:t>
      </w:r>
      <w:r w:rsidRPr="008F5D36">
        <w:rPr>
          <w:sz w:val="24"/>
          <w:szCs w:val="24"/>
        </w:rPr>
        <w:t>, washed off drugs with BSK-H medium and DCFH-DA in BSK-H was added to a final concentration of 10 μM. After an incubation of 45 min in the dark at 33°C, samples were washed with PBS and subjected to fluorescence plate reader analysis</w:t>
      </w:r>
      <w:r w:rsidR="003942E6" w:rsidRPr="008F5D36">
        <w:rPr>
          <w:sz w:val="24"/>
          <w:szCs w:val="24"/>
        </w:rPr>
        <w:t xml:space="preserve"> </w:t>
      </w:r>
      <w:r w:rsidRPr="008F5D36">
        <w:rPr>
          <w:sz w:val="24"/>
          <w:szCs w:val="24"/>
        </w:rPr>
        <w:t xml:space="preserve">at an excitation wavelength of 485 nm and an emission wavelength of 538 nm. </w:t>
      </w:r>
    </w:p>
    <w:p w14:paraId="459BBAD6" w14:textId="7AC5106F" w:rsidR="00BC02B8" w:rsidRPr="00BC02B8" w:rsidRDefault="00BC02B8"/>
    <w:sectPr w:rsidR="00BC02B8" w:rsidRPr="00BC02B8" w:rsidSect="002B687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F0969A" w14:textId="77777777" w:rsidR="00E20364" w:rsidRDefault="00E20364" w:rsidP="0090759F">
      <w:r>
        <w:separator/>
      </w:r>
    </w:p>
  </w:endnote>
  <w:endnote w:type="continuationSeparator" w:id="0">
    <w:p w14:paraId="2E800169" w14:textId="77777777" w:rsidR="00E20364" w:rsidRDefault="00E20364" w:rsidP="009075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75BACA5" w14:textId="77777777" w:rsidR="00E20364" w:rsidRDefault="00E20364" w:rsidP="0090759F">
      <w:r>
        <w:separator/>
      </w:r>
    </w:p>
  </w:footnote>
  <w:footnote w:type="continuationSeparator" w:id="0">
    <w:p w14:paraId="01B95E71" w14:textId="77777777" w:rsidR="00E20364" w:rsidRDefault="00E20364" w:rsidP="0090759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NDMytDSxNDc3NLewtDRT0lEKTi0uzszPAykwNKgFAGC/s/ItAAAA"/>
  </w:docVars>
  <w:rsids>
    <w:rsidRoot w:val="006A70DD"/>
    <w:rsid w:val="0000198A"/>
    <w:rsid w:val="00011FAF"/>
    <w:rsid w:val="00012267"/>
    <w:rsid w:val="00017842"/>
    <w:rsid w:val="000232CF"/>
    <w:rsid w:val="0006046A"/>
    <w:rsid w:val="000723D0"/>
    <w:rsid w:val="000914C5"/>
    <w:rsid w:val="0009197D"/>
    <w:rsid w:val="000C0D02"/>
    <w:rsid w:val="000D0E0F"/>
    <w:rsid w:val="000E4768"/>
    <w:rsid w:val="000E6F64"/>
    <w:rsid w:val="000F145E"/>
    <w:rsid w:val="001223F2"/>
    <w:rsid w:val="00130E86"/>
    <w:rsid w:val="00132FA7"/>
    <w:rsid w:val="0014251F"/>
    <w:rsid w:val="0014374E"/>
    <w:rsid w:val="0014521B"/>
    <w:rsid w:val="0017474D"/>
    <w:rsid w:val="00174AB9"/>
    <w:rsid w:val="00180F63"/>
    <w:rsid w:val="00184314"/>
    <w:rsid w:val="001B1937"/>
    <w:rsid w:val="001C265E"/>
    <w:rsid w:val="001C5ABD"/>
    <w:rsid w:val="001D737F"/>
    <w:rsid w:val="001E73E1"/>
    <w:rsid w:val="001F02F0"/>
    <w:rsid w:val="001F39B6"/>
    <w:rsid w:val="00215774"/>
    <w:rsid w:val="00222784"/>
    <w:rsid w:val="00234E3C"/>
    <w:rsid w:val="00252EC0"/>
    <w:rsid w:val="0026407D"/>
    <w:rsid w:val="00273229"/>
    <w:rsid w:val="00274AB9"/>
    <w:rsid w:val="002872B1"/>
    <w:rsid w:val="002912AC"/>
    <w:rsid w:val="002975F6"/>
    <w:rsid w:val="002A2DE7"/>
    <w:rsid w:val="002B1050"/>
    <w:rsid w:val="002B687B"/>
    <w:rsid w:val="002C10D9"/>
    <w:rsid w:val="002C1205"/>
    <w:rsid w:val="002D49AA"/>
    <w:rsid w:val="002E143C"/>
    <w:rsid w:val="002E2799"/>
    <w:rsid w:val="002F3A24"/>
    <w:rsid w:val="002F3E36"/>
    <w:rsid w:val="0030679B"/>
    <w:rsid w:val="003130F3"/>
    <w:rsid w:val="00316CF4"/>
    <w:rsid w:val="00321B9D"/>
    <w:rsid w:val="00331429"/>
    <w:rsid w:val="00331D34"/>
    <w:rsid w:val="00335153"/>
    <w:rsid w:val="00340B29"/>
    <w:rsid w:val="0034110F"/>
    <w:rsid w:val="00353B80"/>
    <w:rsid w:val="003550BD"/>
    <w:rsid w:val="0037326B"/>
    <w:rsid w:val="003767B9"/>
    <w:rsid w:val="00387E04"/>
    <w:rsid w:val="00391F59"/>
    <w:rsid w:val="003942E6"/>
    <w:rsid w:val="003B56AF"/>
    <w:rsid w:val="003C212F"/>
    <w:rsid w:val="003C2AD8"/>
    <w:rsid w:val="003C5193"/>
    <w:rsid w:val="003D1E29"/>
    <w:rsid w:val="003D46B4"/>
    <w:rsid w:val="003D7330"/>
    <w:rsid w:val="003E27DF"/>
    <w:rsid w:val="00405895"/>
    <w:rsid w:val="00414767"/>
    <w:rsid w:val="00420AAA"/>
    <w:rsid w:val="00421EC7"/>
    <w:rsid w:val="00423D0F"/>
    <w:rsid w:val="00430C8D"/>
    <w:rsid w:val="00441101"/>
    <w:rsid w:val="00442494"/>
    <w:rsid w:val="00443740"/>
    <w:rsid w:val="00446E19"/>
    <w:rsid w:val="004575BE"/>
    <w:rsid w:val="00470867"/>
    <w:rsid w:val="00472950"/>
    <w:rsid w:val="00481EA3"/>
    <w:rsid w:val="004918D2"/>
    <w:rsid w:val="0049703C"/>
    <w:rsid w:val="004A5732"/>
    <w:rsid w:val="004B37E8"/>
    <w:rsid w:val="004B6C9A"/>
    <w:rsid w:val="004C32F1"/>
    <w:rsid w:val="004D6C46"/>
    <w:rsid w:val="004F0148"/>
    <w:rsid w:val="004F6F2D"/>
    <w:rsid w:val="005008AC"/>
    <w:rsid w:val="005175EE"/>
    <w:rsid w:val="0052711D"/>
    <w:rsid w:val="0053686B"/>
    <w:rsid w:val="005373CC"/>
    <w:rsid w:val="00537460"/>
    <w:rsid w:val="00541A82"/>
    <w:rsid w:val="0055260B"/>
    <w:rsid w:val="00556227"/>
    <w:rsid w:val="005900B7"/>
    <w:rsid w:val="005A613F"/>
    <w:rsid w:val="005B268D"/>
    <w:rsid w:val="005C39BE"/>
    <w:rsid w:val="005E4CF8"/>
    <w:rsid w:val="005E6BFD"/>
    <w:rsid w:val="005F6C8C"/>
    <w:rsid w:val="00603C45"/>
    <w:rsid w:val="00633CAA"/>
    <w:rsid w:val="0063406F"/>
    <w:rsid w:val="00636110"/>
    <w:rsid w:val="00655CAF"/>
    <w:rsid w:val="006616C0"/>
    <w:rsid w:val="006840CB"/>
    <w:rsid w:val="00690A81"/>
    <w:rsid w:val="0069368C"/>
    <w:rsid w:val="006939C4"/>
    <w:rsid w:val="0069799E"/>
    <w:rsid w:val="006A235B"/>
    <w:rsid w:val="006A70DD"/>
    <w:rsid w:val="006C2CB4"/>
    <w:rsid w:val="006F3E62"/>
    <w:rsid w:val="007038EE"/>
    <w:rsid w:val="007048E3"/>
    <w:rsid w:val="00707D0B"/>
    <w:rsid w:val="007113FB"/>
    <w:rsid w:val="00711ADA"/>
    <w:rsid w:val="00713B71"/>
    <w:rsid w:val="00727464"/>
    <w:rsid w:val="007429F1"/>
    <w:rsid w:val="007572CE"/>
    <w:rsid w:val="007734F5"/>
    <w:rsid w:val="00775119"/>
    <w:rsid w:val="007900A4"/>
    <w:rsid w:val="007908F1"/>
    <w:rsid w:val="00790CCF"/>
    <w:rsid w:val="00796BFA"/>
    <w:rsid w:val="007D52B3"/>
    <w:rsid w:val="007D6183"/>
    <w:rsid w:val="007E126F"/>
    <w:rsid w:val="007E1C34"/>
    <w:rsid w:val="007E64B8"/>
    <w:rsid w:val="007F0179"/>
    <w:rsid w:val="008229DB"/>
    <w:rsid w:val="00825939"/>
    <w:rsid w:val="00845E2E"/>
    <w:rsid w:val="008479A4"/>
    <w:rsid w:val="00850896"/>
    <w:rsid w:val="0085281A"/>
    <w:rsid w:val="00856E90"/>
    <w:rsid w:val="0086629D"/>
    <w:rsid w:val="008728A7"/>
    <w:rsid w:val="00876755"/>
    <w:rsid w:val="00877BD3"/>
    <w:rsid w:val="0088371D"/>
    <w:rsid w:val="00886A03"/>
    <w:rsid w:val="0089439F"/>
    <w:rsid w:val="008A3EB8"/>
    <w:rsid w:val="008A420F"/>
    <w:rsid w:val="008C1309"/>
    <w:rsid w:val="008E1FED"/>
    <w:rsid w:val="008F0DBA"/>
    <w:rsid w:val="008F4F95"/>
    <w:rsid w:val="008F5C56"/>
    <w:rsid w:val="008F5D36"/>
    <w:rsid w:val="0090759F"/>
    <w:rsid w:val="00914565"/>
    <w:rsid w:val="00923E77"/>
    <w:rsid w:val="00934DBA"/>
    <w:rsid w:val="00954426"/>
    <w:rsid w:val="00975C48"/>
    <w:rsid w:val="00977D13"/>
    <w:rsid w:val="00991DF9"/>
    <w:rsid w:val="00992A08"/>
    <w:rsid w:val="009A0EE6"/>
    <w:rsid w:val="009A7CD2"/>
    <w:rsid w:val="009B0A0D"/>
    <w:rsid w:val="009B157F"/>
    <w:rsid w:val="009B19C7"/>
    <w:rsid w:val="009D0D80"/>
    <w:rsid w:val="009E4B64"/>
    <w:rsid w:val="009F7217"/>
    <w:rsid w:val="00A01F31"/>
    <w:rsid w:val="00A040ED"/>
    <w:rsid w:val="00A221B6"/>
    <w:rsid w:val="00A24925"/>
    <w:rsid w:val="00A41D56"/>
    <w:rsid w:val="00A4356F"/>
    <w:rsid w:val="00A44232"/>
    <w:rsid w:val="00A4665E"/>
    <w:rsid w:val="00A46979"/>
    <w:rsid w:val="00A565CC"/>
    <w:rsid w:val="00A60122"/>
    <w:rsid w:val="00A6267E"/>
    <w:rsid w:val="00A63747"/>
    <w:rsid w:val="00A83989"/>
    <w:rsid w:val="00A87D8B"/>
    <w:rsid w:val="00A973A2"/>
    <w:rsid w:val="00AA6495"/>
    <w:rsid w:val="00AB0ECD"/>
    <w:rsid w:val="00AC1275"/>
    <w:rsid w:val="00AC1C63"/>
    <w:rsid w:val="00AE3234"/>
    <w:rsid w:val="00AF0BF1"/>
    <w:rsid w:val="00B017C3"/>
    <w:rsid w:val="00B20D55"/>
    <w:rsid w:val="00B247D6"/>
    <w:rsid w:val="00B30E0F"/>
    <w:rsid w:val="00B356AD"/>
    <w:rsid w:val="00B5536B"/>
    <w:rsid w:val="00B62274"/>
    <w:rsid w:val="00B71DDC"/>
    <w:rsid w:val="00B94523"/>
    <w:rsid w:val="00BA0F1B"/>
    <w:rsid w:val="00BA3DA8"/>
    <w:rsid w:val="00BA7E63"/>
    <w:rsid w:val="00BC02B8"/>
    <w:rsid w:val="00BF07D8"/>
    <w:rsid w:val="00C158E5"/>
    <w:rsid w:val="00C214DD"/>
    <w:rsid w:val="00C22798"/>
    <w:rsid w:val="00C319D2"/>
    <w:rsid w:val="00C4160A"/>
    <w:rsid w:val="00C433C8"/>
    <w:rsid w:val="00C4621E"/>
    <w:rsid w:val="00C53391"/>
    <w:rsid w:val="00C5390D"/>
    <w:rsid w:val="00C57E97"/>
    <w:rsid w:val="00C631B6"/>
    <w:rsid w:val="00C65CE2"/>
    <w:rsid w:val="00C70EBC"/>
    <w:rsid w:val="00C92A15"/>
    <w:rsid w:val="00CA0B2B"/>
    <w:rsid w:val="00CA5650"/>
    <w:rsid w:val="00CB3475"/>
    <w:rsid w:val="00CB5D28"/>
    <w:rsid w:val="00CB7E7C"/>
    <w:rsid w:val="00CC2B6F"/>
    <w:rsid w:val="00CC5651"/>
    <w:rsid w:val="00CC7016"/>
    <w:rsid w:val="00CD2D4C"/>
    <w:rsid w:val="00CF014C"/>
    <w:rsid w:val="00D043CE"/>
    <w:rsid w:val="00D14791"/>
    <w:rsid w:val="00D151C3"/>
    <w:rsid w:val="00D24ED2"/>
    <w:rsid w:val="00D25BF8"/>
    <w:rsid w:val="00D43B5E"/>
    <w:rsid w:val="00D55519"/>
    <w:rsid w:val="00D61101"/>
    <w:rsid w:val="00D659D9"/>
    <w:rsid w:val="00DC1793"/>
    <w:rsid w:val="00DC254B"/>
    <w:rsid w:val="00DD28B7"/>
    <w:rsid w:val="00DD70B2"/>
    <w:rsid w:val="00DE4CC0"/>
    <w:rsid w:val="00E20364"/>
    <w:rsid w:val="00E4434E"/>
    <w:rsid w:val="00E44380"/>
    <w:rsid w:val="00E51020"/>
    <w:rsid w:val="00E5471D"/>
    <w:rsid w:val="00E576E9"/>
    <w:rsid w:val="00E62A11"/>
    <w:rsid w:val="00E62FA4"/>
    <w:rsid w:val="00E927C2"/>
    <w:rsid w:val="00E943E6"/>
    <w:rsid w:val="00EA37FB"/>
    <w:rsid w:val="00EB41B8"/>
    <w:rsid w:val="00ED3124"/>
    <w:rsid w:val="00EF0E54"/>
    <w:rsid w:val="00F00909"/>
    <w:rsid w:val="00F1126A"/>
    <w:rsid w:val="00F161DA"/>
    <w:rsid w:val="00F169A2"/>
    <w:rsid w:val="00F20871"/>
    <w:rsid w:val="00F25EA4"/>
    <w:rsid w:val="00F5170A"/>
    <w:rsid w:val="00F668EC"/>
    <w:rsid w:val="00F73039"/>
    <w:rsid w:val="00F92900"/>
    <w:rsid w:val="00FA195C"/>
    <w:rsid w:val="00FA4DA3"/>
    <w:rsid w:val="00FC3A26"/>
    <w:rsid w:val="00FE2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13D04D"/>
  <w15:chartTrackingRefBased/>
  <w15:docId w15:val="{78325218-2221-9B4A-86E0-E22758117F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30E86"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0759F"/>
    <w:pPr>
      <w:pBdr>
        <w:bottom w:val="single" w:sz="6" w:space="1" w:color="auto"/>
      </w:pBdr>
      <w:tabs>
        <w:tab w:val="center" w:pos="4513"/>
        <w:tab w:val="right" w:pos="902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0759F"/>
    <w:rPr>
      <w:rFonts w:ascii="Times New Roman" w:eastAsia="宋体" w:hAnsi="Times New Roman" w:cs="Times New Roman"/>
      <w:kern w:val="2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0759F"/>
    <w:pPr>
      <w:tabs>
        <w:tab w:val="center" w:pos="4513"/>
        <w:tab w:val="right" w:pos="902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0759F"/>
    <w:rPr>
      <w:rFonts w:ascii="Times New Roman" w:eastAsia="宋体" w:hAnsi="Times New Roman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550C83-3E48-4DA3-BCA0-7B34839CD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8</Pages>
  <Words>489</Words>
  <Characters>2792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feng jie</dc:creator>
  <cp:keywords/>
  <dc:description/>
  <cp:lastModifiedBy>冯杰</cp:lastModifiedBy>
  <cp:revision>19</cp:revision>
  <cp:lastPrinted>2022-11-29T08:05:00Z</cp:lastPrinted>
  <dcterms:created xsi:type="dcterms:W3CDTF">2022-04-05T09:39:00Z</dcterms:created>
  <dcterms:modified xsi:type="dcterms:W3CDTF">2022-11-29T08:05:00Z</dcterms:modified>
</cp:coreProperties>
</file>